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1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STA457_H1</w:t>
      </w:r>
    </w:p>
    <w:p>
      <w:pPr>
        <w:pStyle w:val="Author"/>
      </w:pPr>
      <w:r>
        <w:t xml:space="preserve">Rafsaan</w:t>
      </w:r>
      <w:r>
        <w:t xml:space="preserve"> </w:t>
      </w:r>
      <w:r>
        <w:t xml:space="preserve">Sanvir</w:t>
      </w:r>
    </w:p>
    <w:p>
      <w:pPr>
        <w:pStyle w:val="Date"/>
      </w:pPr>
      <w:r>
        <w:t xml:space="preserve">2024-09-19</w:t>
      </w:r>
    </w:p>
    <w:p>
      <w:pPr>
        <w:pStyle w:val="FirstParagraph"/>
      </w:pPr>
      <w:r>
        <w:t xml:space="preserve">1a &amp; c) Plotting ACF of dollar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(dollar,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that the acf is decaying to 0 very slowly. This implies that the trend</w:t>
      </w:r>
      <w:r>
        <w:t xml:space="preserve"> </w:t>
      </w:r>
      <w:r>
        <w:t xml:space="preserve">is a long term memory series, as the correlations of xt and x(t+s) is high even</w:t>
      </w:r>
      <w:r>
        <w:t xml:space="preserve"> </w:t>
      </w:r>
      <w:r>
        <w:t xml:space="preserve">after a time lag of 50 days. Which means the past is highly correlated with the</w:t>
      </w:r>
      <w:r>
        <w:t xml:space="preserve"> </w:t>
      </w:r>
      <w:r>
        <w:t xml:space="preserve">future, and shocks to the system (sudden increase/decrease in exchange rates)</w:t>
      </w:r>
      <w:r>
        <w:t xml:space="preserve"> </w:t>
      </w:r>
      <w:r>
        <w:t xml:space="preserve">can persist for a long time</w:t>
      </w:r>
    </w:p>
    <w:p>
      <w:pPr>
        <w:pStyle w:val="BodyText"/>
      </w:pPr>
      <w:r>
        <w:t xml:space="preserve">Plotting spectral density function of dollar-</w:t>
      </w:r>
    </w:p>
    <w:p>
      <w:pPr>
        <w:pStyle w:val="SourceCode"/>
      </w:pPr>
      <w:r>
        <w:rPr>
          <w:rStyle w:val="FunctionTok"/>
        </w:rPr>
        <w:t xml:space="preserve">spec.pgram</w:t>
      </w:r>
      <w:r>
        <w:rPr>
          <w:rStyle w:val="NormalTok"/>
        </w:rPr>
        <w:t xml:space="preserve">(dollar, </w:t>
      </w:r>
      <w:r>
        <w:rPr>
          <w:rStyle w:val="AttributeTok"/>
        </w:rPr>
        <w:t xml:space="preserve">demean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1b &amp;b c) Plotting ACF for returns-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(returns)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1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spec.pgram</w:t>
      </w:r>
      <w:r>
        <w:rPr>
          <w:rStyle w:val="NormalTok"/>
        </w:rPr>
        <w:t xml:space="preserve">(returns, </w:t>
      </w:r>
      <w:r>
        <w:rPr>
          <w:rStyle w:val="AttributeTok"/>
        </w:rPr>
        <w:t xml:space="preserve">demean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1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1c)</w:t>
      </w:r>
      <w:r>
        <w:t xml:space="preserve"> </w:t>
      </w:r>
      <w:r>
        <w:t xml:space="preserve">ACF analysis</w:t>
      </w:r>
      <w:r>
        <w:t xml:space="preserve"> </w:t>
      </w:r>
      <w:r>
        <w:t xml:space="preserve">For dollar variable, We can see that the acf is decaying to 0 very slowly. This implies that the trend</w:t>
      </w:r>
      <w:r>
        <w:t xml:space="preserve"> </w:t>
      </w:r>
      <w:r>
        <w:t xml:space="preserve">is a long term memory series, as the correlations of xt and x(t+s) is high even</w:t>
      </w:r>
      <w:r>
        <w:t xml:space="preserve"> </w:t>
      </w:r>
      <w:r>
        <w:t xml:space="preserve">after a time lag of 50 days. Which means the past is highly correlated with the</w:t>
      </w:r>
      <w:r>
        <w:t xml:space="preserve"> </w:t>
      </w:r>
      <w:r>
        <w:t xml:space="preserve">future, and shocks to the system (sudden increase/decrease in exchange rates)</w:t>
      </w:r>
      <w:r>
        <w:t xml:space="preserve"> </w:t>
      </w:r>
      <w:r>
        <w:t xml:space="preserve">can persist for a long time. For the first differences, the series decays to 0</w:t>
      </w:r>
      <w:r>
        <w:t xml:space="preserve"> </w:t>
      </w:r>
      <w:r>
        <w:t xml:space="preserve">extremely quickly, indicating a short term memory series where the past and</w:t>
      </w:r>
      <w:r>
        <w:t xml:space="preserve"> </w:t>
      </w:r>
      <w:r>
        <w:t xml:space="preserve">present becomes uncorrelated within a very short time lag for the returns.</w:t>
      </w:r>
    </w:p>
    <w:p>
      <w:pPr>
        <w:pStyle w:val="BodyText"/>
      </w:pPr>
      <w:r>
        <w:t xml:space="preserve">This finding is consistent with a random walk model, where first differences</w:t>
      </w:r>
      <w:r>
        <w:t xml:space="preserve"> </w:t>
      </w:r>
      <w:r>
        <w:t xml:space="preserve">show no consistent autocorrelation and has a flat trend for frequencies between</w:t>
      </w:r>
      <w:r>
        <w:t xml:space="preserve"> </w:t>
      </w:r>
      <w:r>
        <w:t xml:space="preserve">0 and 0.5.</w:t>
      </w:r>
    </w:p>
    <w:p>
      <w:pPr>
        <w:pStyle w:val="BodyText"/>
      </w:pPr>
      <w:r>
        <w:t xml:space="preserve">Periodogram analysis-</w:t>
      </w:r>
      <w:r>
        <w:t xml:space="preserve"> </w:t>
      </w:r>
      <w:r>
        <w:t xml:space="preserve">For the first periodogram, covariances are the largest at lowest frequencies,</w:t>
      </w:r>
      <w:r>
        <w:t xml:space="preserve"> </w:t>
      </w:r>
      <w:r>
        <w:t xml:space="preserve">indicating a long term trend in the exchange rate data. For the first differences,</w:t>
      </w:r>
      <w:r>
        <w:t xml:space="preserve"> </w:t>
      </w:r>
      <w:r>
        <w:t xml:space="preserve">the covariance spikes are consistent throughout the graph, indicating that the</w:t>
      </w:r>
      <w:r>
        <w:t xml:space="preserve"> </w:t>
      </w:r>
      <w:r>
        <w:t xml:space="preserve">first differences are more random, similar to white noise.</w:t>
      </w:r>
    </w:p>
    <w:p>
      <w:pPr>
        <w:pStyle w:val="BodyText"/>
      </w:pPr>
      <w:r>
        <w:t xml:space="preserve">1d)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(returns))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1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spec.pgram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(returns), </w:t>
      </w:r>
      <w:r>
        <w:rPr>
          <w:rStyle w:val="AttributeTok"/>
        </w:rPr>
        <w:t xml:space="preserve">demean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1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ACF- the acf of the absolute first differences or the magnitude of daily returns</w:t>
      </w:r>
      <w:r>
        <w:t xml:space="preserve"> </w:t>
      </w:r>
      <w:r>
        <w:t xml:space="preserve">show stronger correlations than the original first differences. THis means that</w:t>
      </w:r>
      <w:r>
        <w:t xml:space="preserve"> </w:t>
      </w:r>
      <w:r>
        <w:t xml:space="preserve">while returns are random/unpredictable, the magnitude (first diff of return) show</w:t>
      </w:r>
      <w:r>
        <w:t xml:space="preserve"> </w:t>
      </w:r>
      <w:r>
        <w:t xml:space="preserve">autocorrelation</w:t>
      </w:r>
    </w:p>
    <w:p>
      <w:pPr>
        <w:pStyle w:val="BodyText"/>
      </w:pPr>
      <w:r>
        <w:t xml:space="preserve">periodogram - The periodogram of absolute differneces looks similar to the original</w:t>
      </w:r>
      <w:r>
        <w:t xml:space="preserve"> </w:t>
      </w:r>
      <w:r>
        <w:t xml:space="preserve">periodogram of first differences, once again indicating that the magnitude of</w:t>
      </w:r>
      <w:r>
        <w:t xml:space="preserve"> </w:t>
      </w:r>
      <w:r>
        <w:t xml:space="preserve">first differences are random.</w:t>
      </w:r>
    </w:p>
    <w:p>
      <w:pPr>
        <w:pStyle w:val="BodyText"/>
      </w:pPr>
      <w:r>
        <w:t xml:space="preserve">2a)</w:t>
      </w:r>
    </w:p>
    <w:p>
      <w:pPr>
        <w:pStyle w:val="SourceCode"/>
      </w:pPr>
      <w:r>
        <w:rPr>
          <w:rStyle w:val="NormalTok"/>
        </w:rPr>
        <w:t xml:space="preserve">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"Desktop/Current courses/Time series STA457/Assignment 1 /CO2.txt"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(CO2,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spec.pgram</w:t>
      </w:r>
      <w:r>
        <w:rPr>
          <w:rStyle w:val="NormalTok"/>
        </w:rPr>
        <w:t xml:space="preserve">(CO2,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demean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1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periodic peaks at 0, 1/1, 2/1, 3/1.. 6/1 cycles per year, and is called the</w:t>
      </w:r>
      <w:r>
        <w:t xml:space="preserve"> </w:t>
      </w:r>
      <w:r>
        <w:t xml:space="preserve">harmonics of the basic frequency 1. it represents a possible seasonal component in</w:t>
      </w:r>
      <w:r>
        <w:t xml:space="preserve"> </w:t>
      </w:r>
      <w:r>
        <w:t xml:space="preserve">the data, where there is a seasonal cycle repeating once every year, and smaller</w:t>
      </w:r>
      <w:r>
        <w:t xml:space="preserve"> </w:t>
      </w:r>
      <w:r>
        <w:t xml:space="preserve">seasonal components that also repeats</w:t>
      </w:r>
    </w:p>
    <w:p>
      <w:pPr>
        <w:pStyle w:val="BodyText"/>
      </w:pPr>
      <w:r>
        <w:t xml:space="preserve">2b)</w:t>
      </w:r>
    </w:p>
    <w:p>
      <w:pPr>
        <w:pStyle w:val="SourceCode"/>
      </w:pPr>
      <w:r>
        <w:rPr>
          <w:rStyle w:val="NormalTok"/>
        </w:rPr>
        <w:t xml:space="preserve">CO2_trend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"Desktop/Current courses/Time series STA457/Assignment 1 /CO2-trend.txt"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CO2_trend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(CO2_trend,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subtract trend from original data</w:t>
      </w:r>
    </w:p>
    <w:p>
      <w:pPr>
        <w:pStyle w:val="SourceCode"/>
      </w:pPr>
      <w:r>
        <w:rPr>
          <w:rStyle w:val="NormalTok"/>
        </w:rPr>
        <w:t xml:space="preserve">detrend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CO2_trend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CO2_spec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spec.pgram</w:t>
      </w:r>
      <w:r>
        <w:rPr>
          <w:rStyle w:val="NormalTok"/>
        </w:rPr>
        <w:t xml:space="preserve">(detrend, </w:t>
      </w:r>
      <w:r>
        <w:rPr>
          <w:rStyle w:val="AttributeTok"/>
        </w:rPr>
        <w:t xml:space="preserve">demean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detrend_spec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spec.pgram</w:t>
      </w:r>
      <w:r>
        <w:rPr>
          <w:rStyle w:val="NormalTok"/>
        </w:rPr>
        <w:t xml:space="preserve">(CO2,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demean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1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 can see the spikes in data being more emhasized at the harmonics of the</w:t>
      </w:r>
      <w:r>
        <w:t xml:space="preserve"> </w:t>
      </w:r>
      <w:r>
        <w:t xml:space="preserve">frequency 1. This reflects predictable spikes at certain frequencies of the C02</w:t>
      </w:r>
      <w:r>
        <w:t xml:space="preserve"> </w:t>
      </w:r>
      <w:r>
        <w:t xml:space="preserve">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STA457_H1</dc:title>
  <dc:creator>Rafsaan Sanvir</dc:creator>
  <cp:keywords/>
  <dcterms:created xsi:type="dcterms:W3CDTF">2024-09-27T20:16:00Z</dcterms:created>
  <dcterms:modified xsi:type="dcterms:W3CDTF">2024-09-27T20:16:00Z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2024-09-19</vt:lpwstr>
  </property>
  <property fmtid="{D5CDD505-2E9C-101B-9397-08002B2CF9AE}" pid="3" name="output">
    <vt:lpwstr>word_document</vt:lpwstr>
  </property>
</Properties>
</file>