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宋体"/>
          <w:b/>
          <w:sz w:val="28"/>
        </w:rPr>
        <w:t>Causal pathways from loneliness to major depressive disorder: a quantitative Mendelian randomization mediation analysis of the insomnia mechanism</w:t>
      </w:r>
    </w:p>
    <w:p>
      <w:pPr>
        <w:spacing w:after="40"/>
        <w:jc w:val="center"/>
      </w:pPr>
      <w:r>
        <w:rPr>
          <w:rFonts w:ascii="Times New Roman" w:hAnsi="Times New Roman" w:eastAsia="宋体"/>
          <w:b/>
          <w:sz w:val="24"/>
        </w:rPr>
        <w:t>Yan Jinlu¹\*, Liu Yuxuan², Zhang Wei³</w:t>
      </w:r>
    </w:p>
    <w:p>
      <w:pPr>
        <w:spacing w:after="40"/>
        <w:jc w:val="center"/>
      </w:pPr>
      <w:r>
        <w:rPr>
          <w:rFonts w:ascii="Times New Roman" w:hAnsi="Times New Roman" w:eastAsia="宋体"/>
          <w:b w:val="0"/>
          <w:sz w:val="22"/>
        </w:rPr>
        <w:t>¹School of Public Health, North China University of Science and Technology, Tangshan, Hebei 063210, China</w:t>
      </w:r>
    </w:p>
    <w:p>
      <w:pPr>
        <w:spacing w:after="40"/>
        <w:jc w:val="center"/>
      </w:pPr>
      <w:r>
        <w:rPr>
          <w:rFonts w:ascii="Times New Roman" w:hAnsi="Times New Roman" w:eastAsia="宋体"/>
          <w:b w:val="0"/>
          <w:sz w:val="22"/>
        </w:rPr>
        <w:t>²Department of Epidemiology, Beijing University of Chinese Medicine, Beijing 100029, China</w:t>
      </w:r>
    </w:p>
    <w:p>
      <w:pPr>
        <w:spacing w:after="40"/>
        <w:jc w:val="center"/>
      </w:pPr>
      <w:r>
        <w:rPr>
          <w:rFonts w:ascii="Times New Roman" w:hAnsi="Times New Roman" w:eastAsia="宋体"/>
          <w:b w:val="0"/>
          <w:sz w:val="22"/>
        </w:rPr>
        <w:t>³Institute of Mental Health, Peking University Sixth Hospital, Beijing 100491, China</w:t>
      </w:r>
    </w:p>
    <w:p>
      <w:pPr>
        <w:spacing w:before="120" w:after="240"/>
        <w:jc w:val="center"/>
      </w:pPr>
      <w:r>
        <w:rPr>
          <w:rFonts w:ascii="Times New Roman" w:hAnsi="Times New Roman" w:eastAsia="宋体"/>
          <w:b w:val="0"/>
          <w:sz w:val="22"/>
        </w:rPr>
        <w:t>\*Correspondence: yanmedwei@163.com</w:t>
      </w:r>
    </w:p>
    <w:p>
      <w:pPr>
        <w:spacing w:before="240" w:after="120"/>
      </w:pPr>
      <w:r>
        <w:rPr>
          <w:rFonts w:ascii="Times New Roman" w:hAnsi="Times New Roman" w:eastAsia="宋体"/>
          <w:b/>
          <w:sz w:val="24"/>
        </w:rPr>
        <w:t>Abstract</w:t>
      </w:r>
    </w:p>
    <w:p>
      <w:r>
        <w:rPr>
          <w:rFonts w:ascii="Times New Roman" w:hAnsi="Times New Roman" w:eastAsia="宋体"/>
          <w:b w:val="0"/>
          <w:sz w:val="24"/>
        </w:rPr>
        <w:t>Loneliness is a well-established psychosocial risk factor for major depressive disorder (MDD), yet the proportional contribution of specific biological pathways remains poorly quantified. We conducted a two-sample Mendelian randomization (MR) study using summary-level genome-wide association statistics. Genetic instruments for loneliness (UK Biobank; N = 455,457) and insomnia (N ≈ 353,203) were selected at P &lt; 5×10⁻⁸ and harmonized against the full MDD summary statistics from a trans-ancestry meta-analysis (5,053,033 individuals). The primary estimator was inverse-variance weighted (IVW) regression. We applied MR-PRESSO to detect and correct for horizontal pleiotropy, Steiger directionality tests to confirm causal orientation, and bidirectional MR to assess reverse causation. A two-step MR framework with the product-of-coefficients method quantified the proportion of the loneliness–MDD association mediated by insomnia.</w:t>
        <w:br/>
        <w:br/>
        <w:t>Genetic liability to loneliness was associated with increased MDD risk (IVW β = 1.90, 95% CI: 1.85–1.95, P &lt; 1×10⁻¹⁶; OR = 6.66, 95% CI: 6.34–7.00; 544 instruments; mean F = 34.4). After MR-PRESSO outlier correction (99 SNPs removed), the estimate attenuated to β = 1.55 (OR = 4.70), indicating substantial pleiotropic inflation. Genetic liability to insomnia was associated with MDD risk (β = 0.84, 95% CI: 0.82–0.86; OR = 2.31; 800 instruments), and genetic liability to loneliness was associated with insomnia (β = 0.45, 95% CI: 0.42–0.48; 657 instruments). In the two-step mediation analysis, the indirect effect through insomnia was β = 0.374 (SE = 0.013, P &lt; 1×10⁻¹⁶), corresponding to a mediation proportion of 19.7% (SE = 0.7%). Steiger directionality tests confirmed the assumed causal orientation for all three pathways (79–99% of SNPs, all P &gt; 0.05). Bidirectional MR detected weak but statistically significant reverse effects (MDD→loneliness β = 0.09, P &lt; 0.001; MDD→insomnia β = 0.15, P &lt; 0.001). Genetic correlations were modest: rg(MDD, loneliness) = 0.147, rg(MDD, insomnia) = 0.098, rg(loneliness, insomnia) = 0.185.</w:t>
        <w:br/>
        <w:br/>
        <w:t>Genetic evidence supports a causal association between loneliness and MDD, with approximately one-fifth of this association mediated through insomnia. The IVW estimate for loneliness→MDD shows substantial pleiotropic inflation (OR attenuated from 6.66 to 4.70 after MR-PRESSO), highlighting the importance of robust sensitivity analyses. Bidirectional MR reveals weak reverse effects, suggesting partial reciprocity. The mediation estimate is directionally consistent with a recent independent report. Sleep-targeted interventions may attenuate depression risk in lonely individuals, although unmodelled pleiotropy and genetic correlation indicate that additional mechanisms are at play.</w:t>
      </w:r>
    </w:p>
    <w:p>
      <w:pPr>
        <w:spacing w:after="240"/>
      </w:pPr>
      <w:r>
        <w:rPr>
          <w:rFonts w:ascii="Times New Roman" w:hAnsi="Times New Roman" w:eastAsia="宋体"/>
          <w:b/>
          <w:sz w:val="24"/>
        </w:rPr>
        <w:t xml:space="preserve">Keywords: </w:t>
      </w:r>
      <w:r>
        <w:rPr>
          <w:rFonts w:ascii="Times New Roman" w:hAnsi="Times New Roman" w:eastAsia="宋体"/>
          <w:b w:val="0"/>
          <w:sz w:val="24"/>
        </w:rPr>
        <w:t>Mendelian randomization; loneliness; major depressive disorder; insomnia; mediation analysis; sleep disturbance; pleiotropy; genetic correlation</w:t>
      </w:r>
    </w:p>
    <w:p>
      <w:pPr>
        <w:spacing w:before="240" w:after="120"/>
      </w:pPr>
      <w:r>
        <w:rPr>
          <w:rFonts w:ascii="Times New Roman" w:hAnsi="Times New Roman" w:eastAsia="宋体"/>
          <w:b/>
          <w:sz w:val="24"/>
        </w:rPr>
        <w:t>Introduction</w:t>
      </w:r>
    </w:p>
    <w:p>
      <w:r>
        <w:rPr>
          <w:rFonts w:ascii="Times New Roman" w:hAnsi="Times New Roman" w:eastAsia="宋体"/>
          <w:b w:val="0"/>
          <w:sz w:val="24"/>
        </w:rPr>
        <w:t>Major depressive disorder affects more than 280 million people worldwide and is a leading cause of disability-adjusted life years (World Health Organization, 2023). Loneliness — the distressing perception that one’s social needs are unmet — has emerged as a prominent psychosocial risk factor for depression. Prospective cohort studies consistently report that lonely individuals face substantially elevated risk of incident depressive symptoms.</w:t>
        <w:br/>
        <w:br/>
        <w:t>Despite robust observational associations, the causal nature of the loneliness–depression relationship remains subject to reverse causation and shared-genetic confounding. Mendelian randomization (MR) addresses these limitations by using genetic variants as instrumental variables. Two biological pathways have been hypothesized: the sleep pathway, wherein chronic loneliness disrupts sleep architecture and promotes insomnia, and the neuroendocrine/inflammatory pathway involving HPA-axis dysregulation.</w:t>
        <w:br/>
        <w:br/>
        <w:t>Previous MR studies have examined the loneliness–depression association and the insomnia–depression link separately. A recent study reported that insomnia mediates 15.5% (95% CI: 7.7–23.3%) of the social isolation/loneliness→depression association using a UK Biobank-derived depression phenotype. However, that analysis was constrained by a modest outcome sample and did not apply MR-PRESSO outlier correction or Steiger directionality testing.</w:t>
        <w:br/>
        <w:br/>
        <w:t>The most recent MDD GWAS meta-analysis, comprising over 5 million individuals across 29 countries, provides substantially greater statistical power for mediation quantification. Moreover, bidirectional MR and Steiger directionality tests — now standard in MR reporting — can more rigorously establish causal orientation and test for reverse causation.</w:t>
        <w:br/>
        <w:br/>
        <w:t>We therefore conducted a two-sample MR study to (1) re-estimate the loneliness→MDD association using the largest available outcome GWAS with MR-PRESSO pleiotropy correction; (2) quantify the proportion mediated by insomnia with improved precision; (3) test for reverse causation via bidirectional MR; and (4) evaluate directionality using Steiger filtering. Our hypothesis was that insomnia would mediate a meaningful but partial proportion of the association, with the majority operating through sleep-independent pathways.</w:t>
      </w:r>
    </w:p>
    <w:p>
      <w:pPr>
        <w:spacing w:before="240" w:after="120"/>
      </w:pPr>
      <w:r>
        <w:rPr>
          <w:rFonts w:ascii="Times New Roman" w:hAnsi="Times New Roman" w:eastAsia="宋体"/>
          <w:b/>
          <w:sz w:val="24"/>
        </w:rPr>
        <w:t>Methods</w:t>
      </w:r>
    </w:p>
    <w:p>
      <w:pPr>
        <w:spacing w:before="160" w:after="80"/>
      </w:pPr>
      <w:r>
        <w:rPr>
          <w:rFonts w:ascii="Times New Roman" w:hAnsi="Times New Roman" w:eastAsia="宋体"/>
          <w:b/>
          <w:sz w:val="24"/>
        </w:rPr>
        <w:t>Study design</w:t>
      </w:r>
    </w:p>
    <w:p>
      <w:r>
        <w:rPr>
          <w:rFonts w:ascii="Times New Roman" w:hAnsi="Times New Roman" w:eastAsia="宋体"/>
          <w:b w:val="0"/>
          <w:sz w:val="24"/>
        </w:rPr>
        <w:t>We performed a two-sample MR study following STROBE-MR guidelines. Figure 1 presents the analytical framework: total effect (c), a-path (loneliness→insomnia), b-path (insomnia→MDD), and indirect effect (a×b).</w:t>
      </w:r>
    </w:p>
    <w:p>
      <w:pPr>
        <w:spacing w:before="160" w:after="80"/>
      </w:pPr>
      <w:r>
        <w:rPr>
          <w:rFonts w:ascii="Times New Roman" w:hAnsi="Times New Roman" w:eastAsia="宋体"/>
          <w:b/>
          <w:sz w:val="24"/>
        </w:rPr>
        <w:t>Data sources</w:t>
      </w:r>
    </w:p>
    <w:p>
      <w:r>
        <w:rPr>
          <w:rFonts w:ascii="Times New Roman" w:hAnsi="Times New Roman" w:eastAsia="宋体"/>
          <w:b w:val="0"/>
          <w:sz w:val="24"/>
        </w:rPr>
        <w:t>Outcome — MDD. Trans-ancestry MDD GWAS meta-analysis (Adams et al., 2025; 688,808 cases, 4,364,225 controls), restricted to European-ancestry participants (N ≈ 4.2 million). Summary statistics available from the GWAS catalog.</w:t>
        <w:br/>
        <w:br/>
        <w:t>Exposure — Loneliness. UK Biobank GWAS (N = 455,457; MRCIEU OpenGWAS ID ukb-b-8476), assessed with a single-item measure derived from the UCLA Loneliness Scale. Summary statistics available from MRC-IEU OpenGWAS.</w:t>
        <w:br/>
        <w:br/>
        <w:t>Mediator — Insomnia. GWAS of self-reported insomnia symptoms (MRCIEU OpenGWAS ID ukb-a-13; N ≈ 353,203; Neale lab harmonization). Summary statistics available from MRC-IEU OpenGWAS.</w:t>
        <w:br/>
        <w:br/>
        <w:t>All instruments were European ancestry. Outcome GWAS were free of exposure cohorts to minimize sample overlap bias.</w:t>
      </w:r>
    </w:p>
    <w:p>
      <w:pPr>
        <w:spacing w:before="160" w:after="80"/>
      </w:pPr>
      <w:r>
        <w:rPr>
          <w:rFonts w:ascii="Times New Roman" w:hAnsi="Times New Roman" w:eastAsia="宋体"/>
          <w:b/>
          <w:sz w:val="24"/>
        </w:rPr>
        <w:t>Instrumental variable selection</w:t>
      </w:r>
    </w:p>
    <w:p>
      <w:r>
        <w:rPr>
          <w:rFonts w:ascii="Times New Roman" w:hAnsi="Times New Roman" w:eastAsia="宋体"/>
          <w:b w:val="0"/>
          <w:sz w:val="24"/>
        </w:rPr>
        <w:t>Instruments were selected at P &lt; 5×10⁻⁸. Palindromic variants (A/T or G/C) were excluded without effect-allele frequency information. Mean F-statistics exceeded 30 for all exposures, indicating no weak-instrument bias.</w:t>
      </w:r>
    </w:p>
    <w:p>
      <w:pPr>
        <w:spacing w:before="160" w:after="80"/>
      </w:pPr>
      <w:r>
        <w:rPr>
          <w:rFonts w:ascii="Times New Roman" w:hAnsi="Times New Roman" w:eastAsia="宋体"/>
          <w:b/>
          <w:sz w:val="24"/>
        </w:rPr>
        <w:t>Statistical analyses</w:t>
      </w:r>
    </w:p>
    <w:p>
      <w:r>
        <w:rPr>
          <w:rFonts w:ascii="Times New Roman" w:hAnsi="Times New Roman" w:eastAsia="宋体"/>
          <w:b w:val="0"/>
          <w:sz w:val="24"/>
        </w:rPr>
        <w:t>Primary estimator: IVW regression through the origin.</w:t>
        <w:br/>
        <w:br/>
        <w:t>Pleiotropy correction: MR-PRESSO with global test for pleiotropy and outlier detection (standardized residual &gt; 3).</w:t>
        <w:br/>
        <w:br/>
        <w:t>Sensitivity analyses: MR-Egger regression, weighted median estimation, Cochran’s Q heterogeneity, leave-one-out analysis.</w:t>
        <w:br/>
        <w:br/>
        <w:t>Mediation: Two-step product-of-coefficients. Indirect effect = a×b; direct effect = c − a×b; mediation proportion = (a×b)/c × 100%, with delta-method SE.</w:t>
        <w:br/>
        <w:br/>
        <w:t>Bidirectional MR: We tested MDD→loneliness and MDD→insomnia to assess reverse causation.</w:t>
        <w:br/>
        <w:br/>
        <w:t>Steiger directionality: For each pathway, we compared the proportion of outcome variance explained by each SNP versus exposure variance.</w:t>
        <w:br/>
        <w:br/>
        <w:t>Genetic correlation: We computed simplified SNP-level genetic correlations using Z-score cross-products across shared SNPs.</w:t>
        <w:br/>
        <w:br/>
        <w:t>Analyses were performed in Python 3.12 and R 4.6.0. Two-sided P &lt; 0.05 was considered statistically significant, with Bonferroni correction for multiple testing (threshold P &lt; 0.017 for three primary pathways).</w:t>
      </w:r>
    </w:p>
    <w:p>
      <w:pPr>
        <w:spacing w:before="160" w:after="80"/>
      </w:pPr>
      <w:r>
        <w:rPr>
          <w:rFonts w:ascii="Times New Roman" w:hAnsi="Times New Roman" w:eastAsia="宋体"/>
          <w:b/>
          <w:sz w:val="24"/>
        </w:rPr>
        <w:t>Ethics and data availability</w:t>
      </w:r>
    </w:p>
    <w:p>
      <w:r>
        <w:rPr>
          <w:rFonts w:ascii="Times New Roman" w:hAnsi="Times New Roman" w:eastAsia="宋体"/>
          <w:b w:val="0"/>
          <w:sz w:val="24"/>
        </w:rPr>
        <w:t>This study used publicly available GWAS summary statistics. All original studies obtained informed consent from participants and ethical approval from their respective institutional review boards. Analysis code is available at https://github.com/sanweisg (DOI: to be obtained from Zenodo upon publication). GWAS summary statistics were obtained from MRC-IEU OpenGWAS (https://gwas.mrcieu.ac.uk/) and the GWAS Catalog (https://www.ebi.ac.uk/gwas/).</w:t>
      </w:r>
    </w:p>
    <w:p>
      <w:pPr>
        <w:spacing w:before="240" w:after="120"/>
      </w:pPr>
      <w:r>
        <w:rPr>
          <w:rFonts w:ascii="Times New Roman" w:hAnsi="Times New Roman" w:eastAsia="宋体"/>
          <w:b/>
          <w:sz w:val="24"/>
        </w:rPr>
        <w:t>Results</w:t>
      </w:r>
    </w:p>
    <w:p>
      <w:pPr>
        <w:spacing w:before="160" w:after="80"/>
      </w:pPr>
      <w:r>
        <w:rPr>
          <w:rFonts w:ascii="Times New Roman" w:hAnsi="Times New Roman" w:eastAsia="宋体"/>
          <w:b/>
          <w:sz w:val="24"/>
        </w:rPr>
        <w:t>Instrument strength</w:t>
      </w:r>
    </w:p>
    <w:p>
      <w:r>
        <w:rPr>
          <w:rFonts w:ascii="Times New Roman" w:hAnsi="Times New Roman" w:eastAsia="宋体"/>
          <w:b w:val="0"/>
          <w:sz w:val="24"/>
        </w:rPr>
        <w:t>Mean F-statistics: 34.4 (Loneliness→MDD), 34.3 (Insomnia→MDD), 33.9 (Loneliness→Insomnia). Minimum single-instrument F &gt; 29 for all pathways.</w:t>
      </w:r>
    </w:p>
    <w:p>
      <w:pPr>
        <w:spacing w:before="160" w:after="80"/>
      </w:pPr>
      <w:r>
        <w:rPr>
          <w:rFonts w:ascii="Times New Roman" w:hAnsi="Times New Roman" w:eastAsia="宋体"/>
          <w:b/>
          <w:sz w:val="24"/>
        </w:rPr>
        <w:t>Primary MR estimates and MR-PRESSO correction</w:t>
      </w:r>
    </w:p>
    <w:p>
      <w:r>
        <w:rPr>
          <w:rFonts w:ascii="Times New Roman" w:hAnsi="Times New Roman" w:eastAsia="宋体"/>
          <w:b w:val="0"/>
          <w:sz w:val="24"/>
        </w:rPr>
        <w:t>Genetic liability to loneliness was associated with higher MDD risk (IVW β = 1.90, 95% CI: 1.85–1.95, P &lt; 1×10⁻¹⁶; OR = 6.66, 95% CI: 6.34–7.00; 544 instruments). After MR-PRESSO outlier correction (99 SNPs removed), the estimate attenuated to β = 1.55 (OR = 4.70), representing a 29% reduction in the point estimate (Table 2, Figure 1).</w:t>
        <w:br/>
        <w:br/>
        <w:t>Genetic liability to insomnia was associated with MDD risk (IVW β = 0.84, 95% CI: 0.82–0.86; OR = 2.31; 800 instruments). After MR-PRESSO correction (296 SNPs removed), the estimate slightly increased to β = 0.93 (OR = 2.54).</w:t>
        <w:br/>
        <w:br/>
        <w:t>Genetic liability to loneliness was associated with insomnia (IVW β = 0.45, 95% CI: 0.42–0.48; 657 instruments). After MR-PRESSO correction (211 SNPs removed), the estimate attenuated to β = 0.29.</w:t>
      </w:r>
    </w:p>
    <w:p>
      <w:pPr>
        <w:spacing w:after="40"/>
      </w:pPr>
      <w:r>
        <w:rPr>
          <w:rFonts w:ascii="Times New Roman" w:hAnsi="Times New Roman" w:eastAsia="宋体"/>
          <w:b/>
          <w:sz w:val="20"/>
        </w:rPr>
        <w:t>Table 2. MR estimates with and without MR-PRESSO outlier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8"/>
        <w:gridCol w:w="1568"/>
        <w:gridCol w:w="1568"/>
        <w:gridCol w:w="1568"/>
        <w:gridCol w:w="1568"/>
        <w:gridCol w:w="1568"/>
      </w:tblGrid>
      <w:tr>
        <w:tc>
          <w:tcPr>
            <w:tcW w:type="dxa" w:w="1568"/>
          </w:tcPr>
          <w:p>
            <w:pPr>
              <w:jc w:val="center"/>
            </w:pPr>
            <w:r>
              <w:rPr>
                <w:rFonts w:ascii="Times New Roman" w:hAnsi="Times New Roman" w:eastAsia="宋体"/>
                <w:b/>
                <w:sz w:val="18"/>
              </w:rPr>
              <w:t>Pathway</w:t>
            </w:r>
          </w:p>
        </w:tc>
        <w:tc>
          <w:tcPr>
            <w:tcW w:type="dxa" w:w="1568"/>
          </w:tcPr>
          <w:p>
            <w:pPr>
              <w:jc w:val="center"/>
            </w:pPr>
            <w:r>
              <w:rPr>
                <w:rFonts w:ascii="Times New Roman" w:hAnsi="Times New Roman" w:eastAsia="宋体"/>
                <w:b/>
                <w:sz w:val="18"/>
              </w:rPr>
              <w:t>Instruments</w:t>
            </w:r>
          </w:p>
        </w:tc>
        <w:tc>
          <w:tcPr>
            <w:tcW w:type="dxa" w:w="1568"/>
          </w:tcPr>
          <w:p>
            <w:pPr>
              <w:jc w:val="center"/>
            </w:pPr>
            <w:r>
              <w:rPr>
                <w:rFonts w:ascii="Times New Roman" w:hAnsi="Times New Roman" w:eastAsia="宋体"/>
                <w:b/>
                <w:sz w:val="18"/>
              </w:rPr>
              <w:t>IVW β (OR)</w:t>
            </w:r>
          </w:p>
        </w:tc>
        <w:tc>
          <w:tcPr>
            <w:tcW w:type="dxa" w:w="1568"/>
          </w:tcPr>
          <w:p>
            <w:pPr>
              <w:jc w:val="center"/>
            </w:pPr>
            <w:r>
              <w:rPr>
                <w:rFonts w:ascii="Times New Roman" w:hAnsi="Times New Roman" w:eastAsia="宋体"/>
                <w:b/>
                <w:sz w:val="18"/>
              </w:rPr>
              <w:t>MR-PRESSO β (OR)</w:t>
            </w:r>
          </w:p>
        </w:tc>
        <w:tc>
          <w:tcPr>
            <w:tcW w:type="dxa" w:w="1568"/>
          </w:tcPr>
          <w:p>
            <w:pPr>
              <w:jc w:val="center"/>
            </w:pPr>
            <w:r>
              <w:rPr>
                <w:rFonts w:ascii="Times New Roman" w:hAnsi="Times New Roman" w:eastAsia="宋体"/>
                <w:b/>
                <w:sz w:val="18"/>
              </w:rPr>
              <w:t>Outliers removed</w:t>
            </w:r>
          </w:p>
        </w:tc>
        <w:tc>
          <w:tcPr>
            <w:tcW w:type="dxa" w:w="1568"/>
          </w:tcPr>
          <w:p>
            <w:pPr>
              <w:jc w:val="center"/>
            </w:pPr>
            <w:r>
              <w:rPr>
                <w:rFonts w:ascii="Times New Roman" w:hAnsi="Times New Roman" w:eastAsia="宋体"/>
                <w:b/>
                <w:sz w:val="18"/>
              </w:rPr>
              <w:t>Δβ (%)</w:t>
            </w:r>
          </w:p>
        </w:tc>
      </w:tr>
      <w:tr>
        <w:tc>
          <w:tcPr>
            <w:tcW w:type="dxa" w:w="1568"/>
          </w:tcPr>
          <w:p>
            <w:pPr>
              <w:jc w:val="center"/>
            </w:pPr>
            <w:r>
              <w:rPr>
                <w:rFonts w:ascii="Times New Roman" w:hAnsi="Times New Roman" w:eastAsia="宋体"/>
                <w:b w:val="0"/>
                <w:sz w:val="18"/>
              </w:rPr>
              <w:t>Loneliness→MDD</w:t>
            </w:r>
          </w:p>
        </w:tc>
        <w:tc>
          <w:tcPr>
            <w:tcW w:type="dxa" w:w="1568"/>
          </w:tcPr>
          <w:p>
            <w:pPr>
              <w:jc w:val="center"/>
            </w:pPr>
            <w:r>
              <w:rPr>
                <w:rFonts w:ascii="Times New Roman" w:hAnsi="Times New Roman" w:eastAsia="宋体"/>
                <w:b w:val="0"/>
                <w:sz w:val="18"/>
              </w:rPr>
              <w:t>544</w:t>
            </w:r>
          </w:p>
        </w:tc>
        <w:tc>
          <w:tcPr>
            <w:tcW w:type="dxa" w:w="1568"/>
          </w:tcPr>
          <w:p>
            <w:pPr>
              <w:jc w:val="center"/>
            </w:pPr>
            <w:r>
              <w:rPr>
                <w:rFonts w:ascii="Times New Roman" w:hAnsi="Times New Roman" w:eastAsia="宋体"/>
                <w:b w:val="0"/>
                <w:sz w:val="18"/>
              </w:rPr>
              <w:t>1.90 (6.66)</w:t>
            </w:r>
          </w:p>
        </w:tc>
        <w:tc>
          <w:tcPr>
            <w:tcW w:type="dxa" w:w="1568"/>
          </w:tcPr>
          <w:p>
            <w:pPr>
              <w:jc w:val="center"/>
            </w:pPr>
            <w:r>
              <w:rPr>
                <w:rFonts w:ascii="Times New Roman" w:hAnsi="Times New Roman" w:eastAsia="宋体"/>
                <w:b w:val="0"/>
                <w:sz w:val="18"/>
              </w:rPr>
              <w:t>1.55 (4.70)</w:t>
            </w:r>
          </w:p>
        </w:tc>
        <w:tc>
          <w:tcPr>
            <w:tcW w:type="dxa" w:w="1568"/>
          </w:tcPr>
          <w:p>
            <w:pPr>
              <w:jc w:val="center"/>
            </w:pPr>
            <w:r>
              <w:rPr>
                <w:rFonts w:ascii="Times New Roman" w:hAnsi="Times New Roman" w:eastAsia="宋体"/>
                <w:b w:val="0"/>
                <w:sz w:val="18"/>
              </w:rPr>
              <w:t>99</w:t>
            </w:r>
          </w:p>
        </w:tc>
        <w:tc>
          <w:tcPr>
            <w:tcW w:type="dxa" w:w="1568"/>
          </w:tcPr>
          <w:p>
            <w:pPr>
              <w:jc w:val="center"/>
            </w:pPr>
            <w:r>
              <w:rPr>
                <w:rFonts w:ascii="Times New Roman" w:hAnsi="Times New Roman" w:eastAsia="宋体"/>
                <w:b w:val="0"/>
                <w:sz w:val="18"/>
              </w:rPr>
              <w:t>−29.5%</w:t>
            </w:r>
          </w:p>
        </w:tc>
      </w:tr>
      <w:tr>
        <w:tc>
          <w:tcPr>
            <w:tcW w:type="dxa" w:w="1568"/>
          </w:tcPr>
          <w:p>
            <w:pPr>
              <w:jc w:val="center"/>
            </w:pPr>
            <w:r>
              <w:rPr>
                <w:rFonts w:ascii="Times New Roman" w:hAnsi="Times New Roman" w:eastAsia="宋体"/>
                <w:b w:val="0"/>
                <w:sz w:val="18"/>
              </w:rPr>
              <w:t>Insomnia→MDD</w:t>
            </w:r>
          </w:p>
        </w:tc>
        <w:tc>
          <w:tcPr>
            <w:tcW w:type="dxa" w:w="1568"/>
          </w:tcPr>
          <w:p>
            <w:pPr>
              <w:jc w:val="center"/>
            </w:pPr>
            <w:r>
              <w:rPr>
                <w:rFonts w:ascii="Times New Roman" w:hAnsi="Times New Roman" w:eastAsia="宋体"/>
                <w:b w:val="0"/>
                <w:sz w:val="18"/>
              </w:rPr>
              <w:t>800</w:t>
            </w:r>
          </w:p>
        </w:tc>
        <w:tc>
          <w:tcPr>
            <w:tcW w:type="dxa" w:w="1568"/>
          </w:tcPr>
          <w:p>
            <w:pPr>
              <w:jc w:val="center"/>
            </w:pPr>
            <w:r>
              <w:rPr>
                <w:rFonts w:ascii="Times New Roman" w:hAnsi="Times New Roman" w:eastAsia="宋体"/>
                <w:b w:val="0"/>
                <w:sz w:val="18"/>
              </w:rPr>
              <w:t>0.84 (2.31)</w:t>
            </w:r>
          </w:p>
        </w:tc>
        <w:tc>
          <w:tcPr>
            <w:tcW w:type="dxa" w:w="1568"/>
          </w:tcPr>
          <w:p>
            <w:pPr>
              <w:jc w:val="center"/>
            </w:pPr>
            <w:r>
              <w:rPr>
                <w:rFonts w:ascii="Times New Roman" w:hAnsi="Times New Roman" w:eastAsia="宋体"/>
                <w:b w:val="0"/>
                <w:sz w:val="18"/>
              </w:rPr>
              <w:t>0.93 (2.54)</w:t>
            </w:r>
          </w:p>
        </w:tc>
        <w:tc>
          <w:tcPr>
            <w:tcW w:type="dxa" w:w="1568"/>
          </w:tcPr>
          <w:p>
            <w:pPr>
              <w:jc w:val="center"/>
            </w:pPr>
            <w:r>
              <w:rPr>
                <w:rFonts w:ascii="Times New Roman" w:hAnsi="Times New Roman" w:eastAsia="宋体"/>
                <w:b w:val="0"/>
                <w:sz w:val="18"/>
              </w:rPr>
              <w:t>296</w:t>
            </w:r>
          </w:p>
        </w:tc>
        <w:tc>
          <w:tcPr>
            <w:tcW w:type="dxa" w:w="1568"/>
          </w:tcPr>
          <w:p>
            <w:pPr>
              <w:jc w:val="center"/>
            </w:pPr>
            <w:r>
              <w:rPr>
                <w:rFonts w:ascii="Times New Roman" w:hAnsi="Times New Roman" w:eastAsia="宋体"/>
                <w:b w:val="0"/>
                <w:sz w:val="18"/>
              </w:rPr>
              <w:t>+11.3%</w:t>
            </w:r>
          </w:p>
        </w:tc>
      </w:tr>
      <w:tr>
        <w:tc>
          <w:tcPr>
            <w:tcW w:type="dxa" w:w="1568"/>
          </w:tcPr>
          <w:p>
            <w:pPr>
              <w:jc w:val="center"/>
            </w:pPr>
            <w:r>
              <w:rPr>
                <w:rFonts w:ascii="Times New Roman" w:hAnsi="Times New Roman" w:eastAsia="宋体"/>
                <w:b w:val="0"/>
                <w:sz w:val="18"/>
              </w:rPr>
              <w:t>Loneliness→Insomnia</w:t>
            </w:r>
          </w:p>
        </w:tc>
        <w:tc>
          <w:tcPr>
            <w:tcW w:type="dxa" w:w="1568"/>
          </w:tcPr>
          <w:p>
            <w:pPr>
              <w:jc w:val="center"/>
            </w:pPr>
            <w:r>
              <w:rPr>
                <w:rFonts w:ascii="Times New Roman" w:hAnsi="Times New Roman" w:eastAsia="宋体"/>
                <w:b w:val="0"/>
                <w:sz w:val="18"/>
              </w:rPr>
              <w:t>657</w:t>
            </w:r>
          </w:p>
        </w:tc>
        <w:tc>
          <w:tcPr>
            <w:tcW w:type="dxa" w:w="1568"/>
          </w:tcPr>
          <w:p>
            <w:pPr>
              <w:jc w:val="center"/>
            </w:pPr>
            <w:r>
              <w:rPr>
                <w:rFonts w:ascii="Times New Roman" w:hAnsi="Times New Roman" w:eastAsia="宋体"/>
                <w:b w:val="0"/>
                <w:sz w:val="18"/>
              </w:rPr>
              <w:t>0.45</w:t>
            </w:r>
          </w:p>
        </w:tc>
        <w:tc>
          <w:tcPr>
            <w:tcW w:type="dxa" w:w="1568"/>
          </w:tcPr>
          <w:p>
            <w:pPr>
              <w:jc w:val="center"/>
            </w:pPr>
            <w:r>
              <w:rPr>
                <w:rFonts w:ascii="Times New Roman" w:hAnsi="Times New Roman" w:eastAsia="宋体"/>
                <w:b w:val="0"/>
                <w:sz w:val="18"/>
              </w:rPr>
              <w:t>0.29</w:t>
            </w:r>
          </w:p>
        </w:tc>
        <w:tc>
          <w:tcPr>
            <w:tcW w:type="dxa" w:w="1568"/>
          </w:tcPr>
          <w:p>
            <w:pPr>
              <w:jc w:val="center"/>
            </w:pPr>
            <w:r>
              <w:rPr>
                <w:rFonts w:ascii="Times New Roman" w:hAnsi="Times New Roman" w:eastAsia="宋体"/>
                <w:b w:val="0"/>
                <w:sz w:val="18"/>
              </w:rPr>
              <w:t>211</w:t>
            </w:r>
          </w:p>
        </w:tc>
        <w:tc>
          <w:tcPr>
            <w:tcW w:type="dxa" w:w="1568"/>
          </w:tcPr>
          <w:p>
            <w:pPr>
              <w:jc w:val="center"/>
            </w:pPr>
            <w:r>
              <w:rPr>
                <w:rFonts w:ascii="Times New Roman" w:hAnsi="Times New Roman" w:eastAsia="宋体"/>
                <w:b w:val="0"/>
                <w:sz w:val="18"/>
              </w:rPr>
              <w:t>−35.1%</w:t>
            </w:r>
          </w:p>
        </w:tc>
      </w:tr>
    </w:tbl>
    <w:p>
      <w:pPr>
        <w:spacing w:after="120"/>
      </w:pPr>
    </w:p>
    <w:p>
      <w:pPr>
        <w:spacing w:before="160" w:after="80"/>
      </w:pPr>
      <w:r>
        <w:rPr>
          <w:rFonts w:ascii="Times New Roman" w:hAnsi="Times New Roman" w:eastAsia="宋体"/>
          <w:b/>
          <w:sz w:val="24"/>
        </w:rPr>
        <w:t>Two-step mediation analysis</w:t>
      </w:r>
    </w:p>
    <w:p>
      <w:r>
        <w:rPr>
          <w:rFonts w:ascii="Times New Roman" w:hAnsi="Times New Roman" w:eastAsia="宋体"/>
          <w:b w:val="0"/>
          <w:sz w:val="24"/>
        </w:rPr>
        <w:t>The indirect effect of loneliness on MDD through insomnia was β = 0.374 (SE = 0.013, P &lt; 1×10⁻¹⁶), direct effect β = 1.522 (P &lt; 1×10⁻¹⁶). The mediation proportion was 19.7% (SE = 0.7%; 95% CI ≈ 18.3–21.1%) (Table 3, Figure 2).</w:t>
      </w:r>
    </w:p>
    <w:p>
      <w:pPr>
        <w:spacing w:after="40"/>
      </w:pPr>
      <w:r>
        <w:rPr>
          <w:rFonts w:ascii="Times New Roman" w:hAnsi="Times New Roman" w:eastAsia="宋体"/>
          <w:b/>
          <w:sz w:val="20"/>
        </w:rPr>
        <w:t>Table 3. Mediation analysis (two-step MR, product-of-coefficients)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pPr>
              <w:jc w:val="center"/>
            </w:pPr>
            <w:r>
              <w:rPr>
                <w:rFonts w:ascii="Times New Roman" w:hAnsi="Times New Roman" w:eastAsia="宋体"/>
                <w:b/>
                <w:sz w:val="18"/>
              </w:rPr>
              <w:t>Component</w:t>
            </w:r>
          </w:p>
        </w:tc>
        <w:tc>
          <w:tcPr>
            <w:tcW w:type="dxa" w:w="2351"/>
          </w:tcPr>
          <w:p>
            <w:pPr>
              <w:jc w:val="center"/>
            </w:pPr>
            <w:r>
              <w:rPr>
                <w:rFonts w:ascii="Times New Roman" w:hAnsi="Times New Roman" w:eastAsia="宋体"/>
                <w:b/>
                <w:sz w:val="18"/>
              </w:rPr>
              <w:t>β (SE)</w:t>
            </w:r>
          </w:p>
        </w:tc>
        <w:tc>
          <w:tcPr>
            <w:tcW w:type="dxa" w:w="2351"/>
          </w:tcPr>
          <w:p>
            <w:pPr>
              <w:jc w:val="center"/>
            </w:pPr>
            <w:r>
              <w:rPr>
                <w:rFonts w:ascii="Times New Roman" w:hAnsi="Times New Roman" w:eastAsia="宋体"/>
                <w:b/>
                <w:sz w:val="18"/>
              </w:rPr>
              <w:t>P</w:t>
            </w:r>
          </w:p>
        </w:tc>
        <w:tc>
          <w:tcPr>
            <w:tcW w:type="dxa" w:w="2351"/>
          </w:tcPr>
          <w:p>
            <w:pPr>
              <w:jc w:val="center"/>
            </w:pPr>
            <w:r>
              <w:rPr>
                <w:rFonts w:ascii="Times New Roman" w:hAnsi="Times New Roman" w:eastAsia="宋体"/>
                <w:b/>
                <w:sz w:val="18"/>
              </w:rPr>
              <w:t>Share of total</w:t>
            </w:r>
          </w:p>
        </w:tc>
      </w:tr>
      <w:tr>
        <w:tc>
          <w:tcPr>
            <w:tcW w:type="dxa" w:w="2351"/>
          </w:tcPr>
          <w:p>
            <w:pPr>
              <w:jc w:val="center"/>
            </w:pPr>
            <w:r>
              <w:rPr>
                <w:rFonts w:ascii="Times New Roman" w:hAnsi="Times New Roman" w:eastAsia="宋体"/>
                <w:b w:val="0"/>
                <w:sz w:val="18"/>
              </w:rPr>
              <w:t>Total effect (c)</w:t>
            </w:r>
          </w:p>
        </w:tc>
        <w:tc>
          <w:tcPr>
            <w:tcW w:type="dxa" w:w="2351"/>
          </w:tcPr>
          <w:p>
            <w:pPr>
              <w:jc w:val="center"/>
            </w:pPr>
            <w:r>
              <w:rPr>
                <w:rFonts w:ascii="Times New Roman" w:hAnsi="Times New Roman" w:eastAsia="宋体"/>
                <w:b w:val="0"/>
                <w:sz w:val="18"/>
              </w:rPr>
              <w:t>1.897 (0.026)</w:t>
            </w:r>
          </w:p>
        </w:tc>
        <w:tc>
          <w:tcPr>
            <w:tcW w:type="dxa" w:w="2351"/>
          </w:tcPr>
          <w:p>
            <w:pPr>
              <w:jc w:val="center"/>
            </w:pPr>
            <w:r>
              <w:rPr>
                <w:rFonts w:ascii="Times New Roman" w:hAnsi="Times New Roman" w:eastAsia="宋体"/>
                <w:b w:val="0"/>
                <w:sz w:val="18"/>
              </w:rPr>
              <w:t>&lt;1×10⁻¹⁶</w:t>
            </w:r>
          </w:p>
        </w:tc>
        <w:tc>
          <w:tcPr>
            <w:tcW w:type="dxa" w:w="2351"/>
          </w:tcPr>
          <w:p>
            <w:pPr>
              <w:jc w:val="center"/>
            </w:pPr>
            <w:r>
              <w:rPr>
                <w:rFonts w:ascii="Times New Roman" w:hAnsi="Times New Roman" w:eastAsia="宋体"/>
                <w:b w:val="0"/>
                <w:sz w:val="18"/>
              </w:rPr>
              <w:t>100%</w:t>
            </w:r>
          </w:p>
        </w:tc>
      </w:tr>
      <w:tr>
        <w:tc>
          <w:tcPr>
            <w:tcW w:type="dxa" w:w="2351"/>
          </w:tcPr>
          <w:p>
            <w:pPr>
              <w:jc w:val="center"/>
            </w:pPr>
            <w:r>
              <w:rPr>
                <w:rFonts w:ascii="Times New Roman" w:hAnsi="Times New Roman" w:eastAsia="宋体"/>
                <w:b w:val="0"/>
                <w:sz w:val="18"/>
              </w:rPr>
              <w:t>a-path: Loneliness→Insomnia</w:t>
            </w:r>
          </w:p>
        </w:tc>
        <w:tc>
          <w:tcPr>
            <w:tcW w:type="dxa" w:w="2351"/>
          </w:tcPr>
          <w:p>
            <w:pPr>
              <w:jc w:val="center"/>
            </w:pPr>
            <w:r>
              <w:rPr>
                <w:rFonts w:ascii="Times New Roman" w:hAnsi="Times New Roman" w:eastAsia="宋体"/>
                <w:b w:val="0"/>
                <w:sz w:val="18"/>
              </w:rPr>
              <w:t>0.447 (0.015)</w:t>
            </w:r>
          </w:p>
        </w:tc>
        <w:tc>
          <w:tcPr>
            <w:tcW w:type="dxa" w:w="2351"/>
          </w:tcPr>
          <w:p>
            <w:pPr>
              <w:jc w:val="center"/>
            </w:pPr>
            <w:r>
              <w:rPr>
                <w:rFonts w:ascii="Times New Roman" w:hAnsi="Times New Roman" w:eastAsia="宋体"/>
                <w:b w:val="0"/>
                <w:sz w:val="18"/>
              </w:rPr>
              <w:t>&lt;1×10⁻¹⁶</w:t>
            </w:r>
          </w:p>
        </w:tc>
        <w:tc>
          <w:tcPr>
            <w:tcW w:type="dxa" w:w="2351"/>
          </w:tcPr>
          <w:p>
            <w:pPr>
              <w:jc w:val="center"/>
            </w:pPr>
            <w:r>
              <w:rPr>
                <w:rFonts w:ascii="Times New Roman" w:hAnsi="Times New Roman" w:eastAsia="宋体"/>
                <w:b w:val="0"/>
                <w:sz w:val="18"/>
              </w:rPr>
              <w:t>—</w:t>
            </w:r>
          </w:p>
        </w:tc>
      </w:tr>
      <w:tr>
        <w:tc>
          <w:tcPr>
            <w:tcW w:type="dxa" w:w="2351"/>
          </w:tcPr>
          <w:p>
            <w:pPr>
              <w:jc w:val="center"/>
            </w:pPr>
            <w:r>
              <w:rPr>
                <w:rFonts w:ascii="Times New Roman" w:hAnsi="Times New Roman" w:eastAsia="宋体"/>
                <w:b w:val="0"/>
                <w:sz w:val="18"/>
              </w:rPr>
              <w:t>b-path: Insomnia→MDD</w:t>
            </w:r>
          </w:p>
        </w:tc>
        <w:tc>
          <w:tcPr>
            <w:tcW w:type="dxa" w:w="2351"/>
          </w:tcPr>
          <w:p>
            <w:pPr>
              <w:jc w:val="center"/>
            </w:pPr>
            <w:r>
              <w:rPr>
                <w:rFonts w:ascii="Times New Roman" w:hAnsi="Times New Roman" w:eastAsia="宋体"/>
                <w:b w:val="0"/>
                <w:sz w:val="18"/>
              </w:rPr>
              <w:t>0.837 (0.010)</w:t>
            </w:r>
          </w:p>
        </w:tc>
        <w:tc>
          <w:tcPr>
            <w:tcW w:type="dxa" w:w="2351"/>
          </w:tcPr>
          <w:p>
            <w:pPr>
              <w:jc w:val="center"/>
            </w:pPr>
            <w:r>
              <w:rPr>
                <w:rFonts w:ascii="Times New Roman" w:hAnsi="Times New Roman" w:eastAsia="宋体"/>
                <w:b w:val="0"/>
                <w:sz w:val="18"/>
              </w:rPr>
              <w:t>&lt;1×10⁻¹⁶</w:t>
            </w:r>
          </w:p>
        </w:tc>
        <w:tc>
          <w:tcPr>
            <w:tcW w:type="dxa" w:w="2351"/>
          </w:tcPr>
          <w:p>
            <w:pPr>
              <w:jc w:val="center"/>
            </w:pPr>
            <w:r>
              <w:rPr>
                <w:rFonts w:ascii="Times New Roman" w:hAnsi="Times New Roman" w:eastAsia="宋体"/>
                <w:b w:val="0"/>
                <w:sz w:val="18"/>
              </w:rPr>
              <w:t>—</w:t>
            </w:r>
          </w:p>
        </w:tc>
      </w:tr>
      <w:tr>
        <w:tc>
          <w:tcPr>
            <w:tcW w:type="dxa" w:w="2351"/>
          </w:tcPr>
          <w:p>
            <w:pPr>
              <w:jc w:val="center"/>
            </w:pPr>
            <w:r>
              <w:rPr>
                <w:rFonts w:ascii="Times New Roman" w:hAnsi="Times New Roman" w:eastAsia="宋体"/>
                <w:b w:val="0"/>
                <w:sz w:val="18"/>
              </w:rPr>
              <w:t>Indirect effect (a×b)</w:t>
            </w:r>
          </w:p>
        </w:tc>
        <w:tc>
          <w:tcPr>
            <w:tcW w:type="dxa" w:w="2351"/>
          </w:tcPr>
          <w:p>
            <w:pPr>
              <w:jc w:val="center"/>
            </w:pPr>
            <w:r>
              <w:rPr>
                <w:rFonts w:ascii="Times New Roman" w:hAnsi="Times New Roman" w:eastAsia="宋体"/>
                <w:b w:val="0"/>
                <w:sz w:val="18"/>
              </w:rPr>
              <w:t>0.374 (0.013)</w:t>
            </w:r>
          </w:p>
        </w:tc>
        <w:tc>
          <w:tcPr>
            <w:tcW w:type="dxa" w:w="2351"/>
          </w:tcPr>
          <w:p>
            <w:pPr>
              <w:jc w:val="center"/>
            </w:pPr>
            <w:r>
              <w:rPr>
                <w:rFonts w:ascii="Times New Roman" w:hAnsi="Times New Roman" w:eastAsia="宋体"/>
                <w:b w:val="0"/>
                <w:sz w:val="18"/>
              </w:rPr>
              <w:t>&lt;1×10⁻¹⁶</w:t>
            </w:r>
          </w:p>
        </w:tc>
        <w:tc>
          <w:tcPr>
            <w:tcW w:type="dxa" w:w="2351"/>
          </w:tcPr>
          <w:p>
            <w:pPr>
              <w:jc w:val="center"/>
            </w:pPr>
            <w:r>
              <w:rPr>
                <w:rFonts w:ascii="Times New Roman" w:hAnsi="Times New Roman" w:eastAsia="宋体"/>
                <w:b w:val="0"/>
                <w:sz w:val="18"/>
              </w:rPr>
              <w:t>19.7%</w:t>
            </w:r>
          </w:p>
        </w:tc>
      </w:tr>
      <w:tr>
        <w:tc>
          <w:tcPr>
            <w:tcW w:type="dxa" w:w="2351"/>
          </w:tcPr>
          <w:p>
            <w:pPr>
              <w:jc w:val="center"/>
            </w:pPr>
            <w:r>
              <w:rPr>
                <w:rFonts w:ascii="Times New Roman" w:hAnsi="Times New Roman" w:eastAsia="宋体"/>
                <w:b w:val="0"/>
                <w:sz w:val="18"/>
              </w:rPr>
              <w:t>Direct effect (c − a×b)</w:t>
            </w:r>
          </w:p>
        </w:tc>
        <w:tc>
          <w:tcPr>
            <w:tcW w:type="dxa" w:w="2351"/>
          </w:tcPr>
          <w:p>
            <w:pPr>
              <w:jc w:val="center"/>
            </w:pPr>
            <w:r>
              <w:rPr>
                <w:rFonts w:ascii="Times New Roman" w:hAnsi="Times New Roman" w:eastAsia="宋体"/>
                <w:b w:val="0"/>
                <w:sz w:val="18"/>
              </w:rPr>
              <w:t>1.522 (0.028)</w:t>
            </w:r>
          </w:p>
        </w:tc>
        <w:tc>
          <w:tcPr>
            <w:tcW w:type="dxa" w:w="2351"/>
          </w:tcPr>
          <w:p>
            <w:pPr>
              <w:jc w:val="center"/>
            </w:pPr>
            <w:r>
              <w:rPr>
                <w:rFonts w:ascii="Times New Roman" w:hAnsi="Times New Roman" w:eastAsia="宋体"/>
                <w:b w:val="0"/>
                <w:sz w:val="18"/>
              </w:rPr>
              <w:t>&lt;1×10⁻¹⁶</w:t>
            </w:r>
          </w:p>
        </w:tc>
        <w:tc>
          <w:tcPr>
            <w:tcW w:type="dxa" w:w="2351"/>
          </w:tcPr>
          <w:p>
            <w:pPr>
              <w:jc w:val="center"/>
            </w:pPr>
            <w:r>
              <w:rPr>
                <w:rFonts w:ascii="Times New Roman" w:hAnsi="Times New Roman" w:eastAsia="宋体"/>
                <w:b w:val="0"/>
                <w:sz w:val="18"/>
              </w:rPr>
              <w:t>80.3%</w:t>
            </w:r>
          </w:p>
        </w:tc>
      </w:tr>
    </w:tbl>
    <w:p>
      <w:pPr>
        <w:spacing w:after="120"/>
      </w:pPr>
    </w:p>
    <w:p>
      <w:pPr>
        <w:spacing w:before="160" w:after="80"/>
      </w:pPr>
      <w:r>
        <w:rPr>
          <w:rFonts w:ascii="Times New Roman" w:hAnsi="Times New Roman" w:eastAsia="宋体"/>
          <w:b/>
          <w:sz w:val="24"/>
        </w:rPr>
        <w:t>Steiger directionality</w:t>
      </w:r>
    </w:p>
    <w:p>
      <w:r>
        <w:rPr>
          <w:rFonts w:ascii="Times New Roman" w:hAnsi="Times New Roman" w:eastAsia="宋体"/>
          <w:b w:val="0"/>
          <w:sz w:val="24"/>
        </w:rPr>
        <w:t>Steiger tests confirmed the assumed causal direction for all three pathways: 79.4% of SNPs for Loneliness→MDD (P = 0.002 by binomial test), 77.2% for Insomnia→MDD (P &lt; 0.001), and 99.8% for Loneliness→Insomnia (P &lt; 0.001) showed higher R² for the exposure than the outcome.</w:t>
      </w:r>
    </w:p>
    <w:p>
      <w:pPr>
        <w:spacing w:before="160" w:after="80"/>
      </w:pPr>
      <w:r>
        <w:rPr>
          <w:rFonts w:ascii="Times New Roman" w:hAnsi="Times New Roman" w:eastAsia="宋体"/>
          <w:b/>
          <w:sz w:val="24"/>
        </w:rPr>
        <w:t>Bidirectional MR</w:t>
      </w:r>
    </w:p>
    <w:p>
      <w:r>
        <w:rPr>
          <w:rFonts w:ascii="Times New Roman" w:hAnsi="Times New Roman" w:eastAsia="宋体"/>
          <w:b w:val="0"/>
          <w:sz w:val="24"/>
        </w:rPr>
        <w:t>Bidirectional MR detected weak but statistically significant reverse effects: MDD genetic liability showed a small positive association with loneliness (β = 0.09, P &lt; 0.001; 12,849 instruments) and insomnia (β = 0.15, P &lt; 0.001; 12,837 instruments). While statistically significant, these reverse effects are modest in magnitude compared to the forward effects, supporting the primary directional hypothesis while acknowledging partial reciprocity.</w:t>
      </w:r>
    </w:p>
    <w:p>
      <w:pPr>
        <w:spacing w:before="160" w:after="80"/>
      </w:pPr>
      <w:r>
        <w:rPr>
          <w:rFonts w:ascii="Times New Roman" w:hAnsi="Times New Roman" w:eastAsia="宋体"/>
          <w:b/>
          <w:sz w:val="24"/>
        </w:rPr>
        <w:t>Genetic correlation</w:t>
      </w:r>
    </w:p>
    <w:p>
      <w:r>
        <w:rPr>
          <w:rFonts w:ascii="Times New Roman" w:hAnsi="Times New Roman" w:eastAsia="宋体"/>
          <w:b w:val="0"/>
          <w:sz w:val="24"/>
        </w:rPr>
        <w:t>Simplified genetic correlations were modest but non-zero: rg(MDD, loneliness) = 0.147, rg(MDD, insomnia) = 0.098, rg(loneliness, insomnia) = 0.185. These indicate partial shared genetic architecture between the traits, consistent with the overlap of genome-wide significant SNPs.</w:t>
      </w:r>
    </w:p>
    <w:p>
      <w:pPr>
        <w:spacing w:before="160" w:after="80"/>
      </w:pPr>
      <w:r>
        <w:rPr>
          <w:rFonts w:ascii="Times New Roman" w:hAnsi="Times New Roman" w:eastAsia="宋体"/>
          <w:b/>
          <w:sz w:val="24"/>
        </w:rPr>
        <w:t>Sensitivity analyses</w:t>
      </w:r>
    </w:p>
    <w:p>
      <w:r>
        <w:rPr>
          <w:rFonts w:ascii="Times New Roman" w:hAnsi="Times New Roman" w:eastAsia="宋体"/>
          <w:b w:val="0"/>
          <w:sz w:val="24"/>
        </w:rPr>
        <w:t>Direction and significance were consistent across methods. MR-Egger slopes: 1.98 (P &lt; 1×10⁻¹⁶) for loneliness→MDD, 0.82 (P &lt; 1×10⁻¹⁶) for insomnia→MDD, 0.43 (P &lt; 1×10⁻¹⁶) for loneliness→insomnia. Weighted median: 2.21, 0.90, 0.69 (all P &lt; 1×10⁻¹⁶). Leave-one-out ranges were narrow.</w:t>
        <w:br/>
        <w:br/>
        <w:t>MR-Egger intercept tests flagged modest directional pleiotropy for loneliness→MDD (intercept = 0.0008, P = 0.046) and insomnia→MDD (intercept = 0.0007, P = 0.047), but not for loneliness→insomnia (P = 0.31). Cochran’s Q indicated substantial between-instrument heterogeneity in all pathways (Q P &lt; 1×10⁻¹⁶).</w:t>
      </w:r>
    </w:p>
    <w:p>
      <w:pPr>
        <w:spacing w:before="240" w:after="120"/>
      </w:pPr>
      <w:r>
        <w:rPr>
          <w:rFonts w:ascii="Times New Roman" w:hAnsi="Times New Roman" w:eastAsia="宋体"/>
          <w:b/>
          <w:sz w:val="24"/>
        </w:rPr>
        <w:t>Discussion</w:t>
      </w:r>
    </w:p>
    <w:p>
      <w:pPr>
        <w:spacing w:before="160" w:after="80"/>
      </w:pPr>
      <w:r>
        <w:rPr>
          <w:rFonts w:ascii="Times New Roman" w:hAnsi="Times New Roman" w:eastAsia="宋体"/>
          <w:b/>
          <w:sz w:val="24"/>
        </w:rPr>
        <w:t>Principal findings</w:t>
      </w:r>
    </w:p>
    <w:p>
      <w:r>
        <w:rPr>
          <w:rFonts w:ascii="Times New Roman" w:hAnsi="Times New Roman" w:eastAsia="宋体"/>
          <w:b w:val="0"/>
          <w:sz w:val="24"/>
        </w:rPr>
        <w:t>Using the largest MDD GWAS available, we found that genetic liability to loneliness is robustly associated with increased MDD risk, and that insomnia mediates approximately one-fifth (19.7%) of this association. MR-PRESSO outlier correction reduced the Loneliness→MDD OR from 6.66 to 4.70, indicating that roughly 30% of the IVW estimate was attributable to pleiotropic inflation. Steiger directionality tests confirmed the assumed causal orientation for all three pathways. Bidirectional MR detected weak but significant reverse effects, suggesting partial reciprocity.</w:t>
      </w:r>
    </w:p>
    <w:p>
      <w:pPr>
        <w:spacing w:before="160" w:after="80"/>
      </w:pPr>
      <w:r>
        <w:rPr>
          <w:rFonts w:ascii="Times New Roman" w:hAnsi="Times New Roman" w:eastAsia="宋体"/>
          <w:b/>
          <w:sz w:val="24"/>
        </w:rPr>
        <w:t>Interpretation of the OR magnitude and pleiotropy correction</w:t>
      </w:r>
    </w:p>
    <w:p>
      <w:r>
        <w:rPr>
          <w:rFonts w:ascii="Times New Roman" w:hAnsi="Times New Roman" w:eastAsia="宋体"/>
          <w:b w:val="0"/>
          <w:sz w:val="24"/>
        </w:rPr>
        <w:t>The uncorrected IVW OR of 6.66 for loneliness→MDD appears large relative to prior observational and MR estimates. MR-PRESSO correction revealed that 99 of 544 instruments (18%) were pleiotropic outliers, and removing them reduced the OR to 4.70 — a 29% attenuation. This finding underscores the importance of pleiotropy correction in MR studies of behavioural traits, which are particularly prone to horizontal pleiotropy through shared genetic architecture with personality, education, and other psychiatric traits.</w:t>
        <w:br/>
        <w:br/>
        <w:t>Several factors likely contribute to the remaining elevated estimate: (1) the genetic instrument captures lifelong cumulative exposure to loneliness liability, accumulating over decades; (2) the single-item loneliness measure may tag broader personality or social-circuitry variation with pleiotropic effects on depression susceptibility; (3) residual pleiotropy may persist even after outlier removal.</w:t>
      </w:r>
    </w:p>
    <w:p>
      <w:pPr>
        <w:spacing w:before="160" w:after="80"/>
      </w:pPr>
      <w:r>
        <w:rPr>
          <w:rFonts w:ascii="Times New Roman" w:hAnsi="Times New Roman" w:eastAsia="宋体"/>
          <w:b/>
          <w:sz w:val="24"/>
        </w:rPr>
        <w:t>Comparison with previous studies</w:t>
      </w:r>
    </w:p>
    <w:p>
      <w:r>
        <w:rPr>
          <w:rFonts w:ascii="Times New Roman" w:hAnsi="Times New Roman" w:eastAsia="宋体"/>
          <w:b w:val="0"/>
          <w:sz w:val="24"/>
        </w:rPr>
        <w:t>A recent study reported insomnia mediating 15.5% (95% CI: 7.7–23.3%) of the social isolation/loneliness→depression association using a UK Biobank-derived depression phenotype. Our estimate of 19.7% (95% CI ≈ 18.3–21.1%) overlaps this interval, lending convergent support. The higher point estimate likely reflects greater statistical power from the 5-million-individual MDD GWAS.</w:t>
      </w:r>
    </w:p>
    <w:p>
      <w:pPr>
        <w:spacing w:before="160" w:after="80"/>
      </w:pPr>
      <w:r>
        <w:rPr>
          <w:rFonts w:ascii="Times New Roman" w:hAnsi="Times New Roman" w:eastAsia="宋体"/>
          <w:b/>
          <w:sz w:val="24"/>
        </w:rPr>
        <w:t>Bidirectional findings and reciprocal causation</w:t>
      </w:r>
    </w:p>
    <w:p>
      <w:r>
        <w:rPr>
          <w:rFonts w:ascii="Times New Roman" w:hAnsi="Times New Roman" w:eastAsia="宋体"/>
          <w:b w:val="0"/>
          <w:sz w:val="24"/>
        </w:rPr>
        <w:t>Bidirectional MR detected weak but significant reverse effects (MDD→loneliness β = 0.09, OR = 1.10; MDD→insomnia β = 0.15, OR = 1.17). While statistically significant, these effects are an order of magnitude smaller than the forward effects, supporting the primary directional hypothesis while acknowledging partial reciprocity.</w:t>
      </w:r>
    </w:p>
    <w:p>
      <w:pPr>
        <w:spacing w:before="160" w:after="80"/>
      </w:pPr>
      <w:r>
        <w:rPr>
          <w:rFonts w:ascii="Times New Roman" w:hAnsi="Times New Roman" w:eastAsia="宋体"/>
          <w:b/>
          <w:sz w:val="24"/>
        </w:rPr>
        <w:t>Genetic correlation context</w:t>
      </w:r>
    </w:p>
    <w:p>
      <w:r>
        <w:rPr>
          <w:rFonts w:ascii="Times New Roman" w:hAnsi="Times New Roman" w:eastAsia="宋体"/>
          <w:b w:val="0"/>
          <w:sz w:val="24"/>
        </w:rPr>
        <w:t>Modest genetic correlations (rg = 0.098–0.185) indicate partial shared aetiology between the traits. The highest correlation (rg = 0.185) between loneliness and insomnia is consistent with substantial genetic overlap between social and sleep traits. These correlations do not invalidate the MR findings but warrant cautious interpretation.</w:t>
      </w:r>
    </w:p>
    <w:p>
      <w:pPr>
        <w:spacing w:before="160" w:after="80"/>
      </w:pPr>
      <w:r>
        <w:rPr>
          <w:rFonts w:ascii="Times New Roman" w:hAnsi="Times New Roman" w:eastAsia="宋体"/>
          <w:b/>
          <w:sz w:val="24"/>
        </w:rPr>
        <w:t>Strengths and limitations</w:t>
      </w:r>
    </w:p>
    <w:p>
      <w:r>
        <w:rPr>
          <w:rFonts w:ascii="Times New Roman" w:hAnsi="Times New Roman" w:eastAsia="宋体"/>
          <w:b w:val="0"/>
          <w:sz w:val="24"/>
        </w:rPr>
        <w:t>Strengths: largest MDD GWAS (5M+), MR-PRESSO pleiotropy correction, bidirectional MR and Steiger directionality testing, full sensitivity suite, and transparent comparison with an independent recent estimate.</w:t>
        <w:br/>
        <w:br/>
        <w:t>Limitations: (1) MR-Egger intercepts are borderline significant (P ≈ 0.046), indicating possible directional pleiotropy. (2) Between-instrument heterogeneity is large — expected with behavioural traits. (3) Hundreds of genome-wide significant SNPs are shared between MDD and the exposures. (4) Insomnia is self-reported. (5) Exposure and mediator GWAS derive from UK Biobank-related resources. (6) Formal colocalization was not possible due to lack of chromosome-position information. (7) European-ancestry instruments limit generalizability. (8) The binary mediation framework tests statistical, not mechanistic, mediation.</w:t>
      </w:r>
    </w:p>
    <w:p>
      <w:pPr>
        <w:spacing w:before="240" w:after="120"/>
      </w:pPr>
      <w:r>
        <w:rPr>
          <w:rFonts w:ascii="Times New Roman" w:hAnsi="Times New Roman" w:eastAsia="宋体"/>
          <w:b/>
          <w:sz w:val="24"/>
        </w:rPr>
        <w:t>Conclusions</w:t>
      </w:r>
    </w:p>
    <w:p>
      <w:r>
        <w:rPr>
          <w:rFonts w:ascii="Times New Roman" w:hAnsi="Times New Roman" w:eastAsia="宋体"/>
          <w:b w:val="0"/>
          <w:sz w:val="24"/>
        </w:rPr>
        <w:t>Genetic evidence supports a causal association between loneliness and MDD, with approximately one-fifth mediated through insomnia. MR-PRESSO correction revealed substantial pleiotropic inflation in the unadjusted estimate. The mediation estimate is directionally consistent with a recent independent report. Bidirectional MR found weak reverse effects, suggesting partial reciprocity. Sleep-targeted interventions may attenuate depression risk in lonely individuals, though the dominant direct effect indicates that non-sleep pathways are equally important.</w:t>
      </w:r>
    </w:p>
    <w:p>
      <w:pPr>
        <w:spacing w:before="240" w:after="120"/>
      </w:pPr>
      <w:r>
        <w:rPr>
          <w:rFonts w:ascii="Times New Roman" w:hAnsi="Times New Roman" w:eastAsia="宋体"/>
          <w:b/>
          <w:sz w:val="24"/>
        </w:rPr>
        <w:t>Author contributions</w:t>
      </w:r>
    </w:p>
    <w:p>
      <w:r>
        <w:rPr>
          <w:rFonts w:ascii="Times New Roman" w:hAnsi="Times New Roman" w:eastAsia="宋体"/>
          <w:b w:val="0"/>
          <w:sz w:val="24"/>
        </w:rPr>
        <w:t>Yan Jinlu: Conceptualization, Methodology, Formal analysis, Writing – original draft. Liu Yuxuan: Data curation, Writing – review &amp; editing. Zhang Wei: Supervision, Project administration. All authors read and approved the final manuscript.</w:t>
      </w:r>
    </w:p>
    <w:p>
      <w:pPr>
        <w:spacing w:before="240" w:after="120"/>
      </w:pPr>
      <w:r>
        <w:rPr>
          <w:rFonts w:ascii="Times New Roman" w:hAnsi="Times New Roman" w:eastAsia="宋体"/>
          <w:b/>
          <w:sz w:val="24"/>
        </w:rPr>
        <w:t>Declaration of competing interest</w:t>
      </w:r>
    </w:p>
    <w:p>
      <w:r>
        <w:rPr>
          <w:rFonts w:ascii="Times New Roman" w:hAnsi="Times New Roman" w:eastAsia="宋体"/>
          <w:b w:val="0"/>
          <w:sz w:val="24"/>
        </w:rPr>
        <w:t>The authors declare no competing interests.</w:t>
      </w:r>
    </w:p>
    <w:p>
      <w:pPr>
        <w:spacing w:before="240" w:after="120"/>
      </w:pPr>
      <w:r>
        <w:rPr>
          <w:rFonts w:ascii="Times New Roman" w:hAnsi="Times New Roman" w:eastAsia="宋体"/>
          <w:b/>
          <w:sz w:val="24"/>
        </w:rPr>
        <w:t>Funding</w:t>
      </w:r>
    </w:p>
    <w:p>
      <w:r>
        <w:rPr>
          <w:rFonts w:ascii="Times New Roman" w:hAnsi="Times New Roman" w:eastAsia="宋体"/>
          <w:b w:val="0"/>
          <w:sz w:val="24"/>
        </w:rPr>
        <w:t>This research received no specific grant from any funding agency.</w:t>
      </w:r>
    </w:p>
    <w:p>
      <w:pPr>
        <w:spacing w:before="240" w:after="120"/>
      </w:pPr>
      <w:r>
        <w:rPr>
          <w:rFonts w:ascii="Times New Roman" w:hAnsi="Times New Roman" w:eastAsia="宋体"/>
          <w:b/>
          <w:sz w:val="24"/>
        </w:rPr>
        <w:t>Acknowledgements</w:t>
      </w:r>
    </w:p>
    <w:p>
      <w:r>
        <w:rPr>
          <w:rFonts w:ascii="Times New Roman" w:hAnsi="Times New Roman" w:eastAsia="宋体"/>
          <w:b w:val="0"/>
          <w:sz w:val="24"/>
        </w:rPr>
        <w:t>We thank the participants and investigators of the MDD meta-analysis consortia, UK Biobank, and the colleagues making GWAS summary statistics publicly available.</w:t>
      </w:r>
    </w:p>
    <w:p>
      <w:pPr>
        <w:spacing w:before="240" w:after="120"/>
      </w:pPr>
      <w:r>
        <w:rPr>
          <w:rFonts w:ascii="Times New Roman" w:hAnsi="Times New Roman" w:eastAsia="宋体"/>
          <w:b/>
          <w:sz w:val="24"/>
        </w:rPr>
        <w:t>References</w:t>
      </w:r>
    </w:p>
    <w:p>
      <w:pPr>
        <w:ind w:left="283" w:hanging="283"/>
      </w:pPr>
      <w:r>
        <w:rPr>
          <w:rFonts w:ascii="Times New Roman" w:hAnsi="Times New Roman" w:eastAsia="宋体"/>
          <w:b w:val="0"/>
          <w:sz w:val="24"/>
        </w:rPr>
        <w:t>1. Adams, M.J. et al. Trans-ancestry genome-wide association study of major depression identifies 697 associations. Cell 188, 123–138 (2025).</w:t>
      </w:r>
    </w:p>
    <w:p>
      <w:pPr>
        <w:ind w:left="283" w:hanging="283"/>
      </w:pPr>
      <w:r>
        <w:rPr>
          <w:rFonts w:ascii="Times New Roman" w:hAnsi="Times New Roman" w:eastAsia="宋体"/>
          <w:b w:val="0"/>
          <w:sz w:val="24"/>
        </w:rPr>
        <w:t>2. Abdellaoui, A. et al. Genetic correlates of social stratification in Great Britain. Nat. Hum. Behav. 3, 1332–1342 (2019).</w:t>
      </w:r>
    </w:p>
    <w:p>
      <w:pPr>
        <w:ind w:left="283" w:hanging="283"/>
      </w:pPr>
      <w:r>
        <w:rPr>
          <w:rFonts w:ascii="Times New Roman" w:hAnsi="Times New Roman" w:eastAsia="宋体"/>
          <w:b w:val="0"/>
          <w:sz w:val="24"/>
        </w:rPr>
        <w:t>3. Jones, S.E. et al. Genome-wide association analyses of chronotype in 697,828 individuals provides insights into circadian rhythms. Nat. Commun. 10, 343 (2019).</w:t>
      </w:r>
    </w:p>
    <w:p>
      <w:pPr>
        <w:ind w:left="283" w:hanging="283"/>
      </w:pPr>
      <w:r>
        <w:rPr>
          <w:rFonts w:ascii="Times New Roman" w:hAnsi="Times New Roman" w:eastAsia="宋体"/>
          <w:b w:val="0"/>
          <w:sz w:val="24"/>
        </w:rPr>
        <w:t>4. Davey Smith, G. &amp; Ebrahim, S. 'Mendelian randomization': can genetic epidemiology contribute to understanding environmental determinants of disease? Int. J. Epidemiol. 32, 1–22 (2003).</w:t>
      </w:r>
    </w:p>
    <w:p>
      <w:pPr>
        <w:ind w:left="283" w:hanging="283"/>
      </w:pPr>
      <w:r>
        <w:rPr>
          <w:rFonts w:ascii="Times New Roman" w:hAnsi="Times New Roman" w:eastAsia="宋体"/>
          <w:b w:val="0"/>
          <w:sz w:val="24"/>
        </w:rPr>
        <w:t>5. Davies, N.M., Holmes, M.V. &amp; Davey Smith, G. Reading Mendelian randomisation studies: a guide, glossary, and checklist for clinicians. BMJ 362, k601 (2018).</w:t>
      </w:r>
    </w:p>
    <w:p>
      <w:pPr>
        <w:ind w:left="283" w:hanging="283"/>
      </w:pPr>
      <w:r>
        <w:rPr>
          <w:rFonts w:ascii="Times New Roman" w:hAnsi="Times New Roman" w:eastAsia="宋体"/>
          <w:b w:val="0"/>
          <w:sz w:val="24"/>
        </w:rPr>
        <w:t>6. Burgess, S., Butterworth, A.S. &amp; Thompson, S.G. Mendelian randomization analysis with multiple genetic variants using summarized data. Genet. Epidemiol. 37, 658–665 (2013).</w:t>
      </w:r>
    </w:p>
    <w:p>
      <w:pPr>
        <w:ind w:left="283" w:hanging="283"/>
      </w:pPr>
      <w:r>
        <w:rPr>
          <w:rFonts w:ascii="Times New Roman" w:hAnsi="Times New Roman" w:eastAsia="宋体"/>
          <w:b w:val="0"/>
          <w:sz w:val="24"/>
        </w:rPr>
        <w:t>7. Burgess, S. et al. Bias due to participant overlap in two-sample Mendelian randomization. Genet. Epidemiol. 40, 597–608 (2016).</w:t>
      </w:r>
    </w:p>
    <w:p>
      <w:pPr>
        <w:ind w:left="283" w:hanging="283"/>
      </w:pPr>
      <w:r>
        <w:rPr>
          <w:rFonts w:ascii="Times New Roman" w:hAnsi="Times New Roman" w:eastAsia="宋体"/>
          <w:b w:val="0"/>
          <w:sz w:val="24"/>
        </w:rPr>
        <w:t>8. Bowden, J., Davey Smith, G. &amp; Burgess, S. Mendelian randomization with invalid instruments: effect estimation and bias detection through Egger regression. Int. J. Epidemiol. 44, 512–525 (2015).</w:t>
      </w:r>
    </w:p>
    <w:p>
      <w:pPr>
        <w:ind w:left="283" w:hanging="283"/>
      </w:pPr>
      <w:r>
        <w:rPr>
          <w:rFonts w:ascii="Times New Roman" w:hAnsi="Times New Roman" w:eastAsia="宋体"/>
          <w:b w:val="0"/>
          <w:sz w:val="24"/>
        </w:rPr>
        <w:t>9. Bowden, J. et al. Consistent estimation in Mendelian randomization with some invalid instruments using a weighted median estimator. Genet. Epidemiol. 40, 304–314 (2016).</w:t>
      </w:r>
    </w:p>
    <w:p>
      <w:pPr>
        <w:ind w:left="283" w:hanging="283"/>
      </w:pPr>
      <w:r>
        <w:rPr>
          <w:rFonts w:ascii="Times New Roman" w:hAnsi="Times New Roman" w:eastAsia="宋体"/>
          <w:b w:val="0"/>
          <w:sz w:val="24"/>
        </w:rPr>
        <w:t>10. Verbanck, M. et al. Detection of widespread horizontal pleiotropy in Mendelian randomization. Nat. Genet. 50, 693–698 (2018).</w:t>
      </w:r>
    </w:p>
    <w:p>
      <w:pPr>
        <w:ind w:left="283" w:hanging="283"/>
      </w:pPr>
      <w:r>
        <w:rPr>
          <w:rFonts w:ascii="Times New Roman" w:hAnsi="Times New Roman" w:eastAsia="宋体"/>
          <w:b w:val="0"/>
          <w:sz w:val="24"/>
        </w:rPr>
        <w:t>11. Skrivankova, V.W. et al. Strengthening the Reporting of Observational Studies in Epidemiology Using Mendelian Randomization: the STROBE-MR statement. PLoS Med. 18, e1003889 (2021).</w:t>
      </w:r>
    </w:p>
    <w:p>
      <w:pPr>
        <w:ind w:left="283" w:hanging="283"/>
      </w:pPr>
      <w:r>
        <w:rPr>
          <w:rFonts w:ascii="Times New Roman" w:hAnsi="Times New Roman" w:eastAsia="宋体"/>
          <w:b w:val="0"/>
          <w:sz w:val="24"/>
        </w:rPr>
        <w:t>12. Carter, A.R. et al. Mendelian randomization for mediation analysis: current methods and challenges for implementation. Int. J. Epidemiol. 50, 1985–1994 (2021).</w:t>
      </w:r>
    </w:p>
    <w:p>
      <w:pPr>
        <w:ind w:left="283" w:hanging="283"/>
      </w:pPr>
      <w:r>
        <w:rPr>
          <w:rFonts w:ascii="Times New Roman" w:hAnsi="Times New Roman" w:eastAsia="宋体"/>
          <w:b w:val="0"/>
          <w:sz w:val="24"/>
        </w:rPr>
        <w:t>13. Xue, H. et al. Illustrating Mendelian randomization studies with two-sample mediation analysis. BMC Med. Res. Methodol. 21, 217 (2021).</w:t>
      </w:r>
    </w:p>
    <w:p>
      <w:pPr>
        <w:ind w:left="283" w:hanging="283"/>
      </w:pPr>
      <w:r>
        <w:rPr>
          <w:rFonts w:ascii="Times New Roman" w:hAnsi="Times New Roman" w:eastAsia="宋体"/>
          <w:b w:val="0"/>
          <w:sz w:val="24"/>
        </w:rPr>
        <w:t>14. Erzen, E. &amp; Çikrikci, Ö. The effect of loneliness on depression: a meta-analysis. Int. J. Soc. Psychiatry 64, 427–435 (2018).</w:t>
      </w:r>
    </w:p>
    <w:p>
      <w:pPr>
        <w:ind w:left="283" w:hanging="283"/>
      </w:pPr>
      <w:r>
        <w:rPr>
          <w:rFonts w:ascii="Times New Roman" w:hAnsi="Times New Roman" w:eastAsia="宋体"/>
          <w:b w:val="0"/>
          <w:sz w:val="24"/>
        </w:rPr>
        <w:t>15. Holt-Lunstad, J. et al. Loneliness and social isolation as risk factors for mortality: a meta-analytic review. Perspect. Psychol. Sci. 10, 227–237 (2015).</w:t>
      </w:r>
    </w:p>
    <w:p>
      <w:pPr>
        <w:ind w:left="283" w:hanging="283"/>
      </w:pPr>
      <w:r>
        <w:rPr>
          <w:rFonts w:ascii="Times New Roman" w:hAnsi="Times New Roman" w:eastAsia="宋体"/>
          <w:b w:val="0"/>
          <w:sz w:val="24"/>
        </w:rPr>
        <w:t>16. Cacioppo, J.T. et al. Do lonely days invade the nights? Potential social modulation of sleep efficiency. Psychol. Sci. 13, 384–387 (2002).</w:t>
      </w:r>
    </w:p>
    <w:p>
      <w:pPr>
        <w:ind w:left="283" w:hanging="283"/>
      </w:pPr>
      <w:r>
        <w:rPr>
          <w:rFonts w:ascii="Times New Roman" w:hAnsi="Times New Roman" w:eastAsia="宋体"/>
          <w:b w:val="0"/>
          <w:sz w:val="24"/>
        </w:rPr>
        <w:t>17. Kurina, L.M. et al. Sleep duration, gene expression, and loneliness: findings from a population-based gene expression study. Soc. Sci. Med. 72, 27–31 (2011).</w:t>
      </w:r>
    </w:p>
    <w:p>
      <w:pPr>
        <w:ind w:left="283" w:hanging="283"/>
      </w:pPr>
      <w:r>
        <w:rPr>
          <w:rFonts w:ascii="Times New Roman" w:hAnsi="Times New Roman" w:eastAsia="宋体"/>
          <w:b w:val="0"/>
          <w:sz w:val="24"/>
        </w:rPr>
        <w:t>18. Van Dongen, H.P.A. et al. The cumulative cost of additional wakefulness. Sleep 26, 117–126 (2003).</w:t>
      </w:r>
    </w:p>
    <w:p>
      <w:pPr>
        <w:ind w:left="283" w:hanging="283"/>
      </w:pPr>
      <w:r>
        <w:rPr>
          <w:rFonts w:ascii="Times New Roman" w:hAnsi="Times New Roman" w:eastAsia="宋体"/>
          <w:b w:val="0"/>
          <w:sz w:val="24"/>
        </w:rPr>
        <w:t>19. Harvey, A.G. Sleep and circadian rhythms in bipolar disorder. Am. J. Psychiatry 165, 820–829 (2008).</w:t>
      </w:r>
    </w:p>
    <w:p>
      <w:pPr>
        <w:ind w:left="283" w:hanging="283"/>
      </w:pPr>
      <w:r>
        <w:rPr>
          <w:rFonts w:ascii="Times New Roman" w:hAnsi="Times New Roman" w:eastAsia="宋体"/>
          <w:b w:val="0"/>
          <w:sz w:val="24"/>
        </w:rPr>
        <w:t>20. Slavich, G.M. &amp; Irwin, M.R. From stress to inflammation and major depressive disorder: a social signal transduction theory of depression. Psychol. Bull. 140, 774–815 (2014).</w:t>
      </w:r>
    </w:p>
    <w:p>
      <w:pPr>
        <w:ind w:left="283" w:hanging="283"/>
      </w:pPr>
      <w:r>
        <w:rPr>
          <w:rFonts w:ascii="Times New Roman" w:hAnsi="Times New Roman" w:eastAsia="宋体"/>
          <w:b w:val="0"/>
          <w:sz w:val="24"/>
        </w:rPr>
        <w:t>21. Christensen, H. et al. Effectiveness of an online insomnia program (SHUTi) for prevention of depressive episodes. Lancet Psychiatry 3, 333–341 (2016).</w:t>
      </w:r>
    </w:p>
    <w:p>
      <w:pPr>
        <w:ind w:left="283" w:hanging="283"/>
      </w:pPr>
      <w:r>
        <w:rPr>
          <w:rFonts w:ascii="Times New Roman" w:hAnsi="Times New Roman" w:eastAsia="宋体"/>
          <w:b w:val="0"/>
          <w:sz w:val="24"/>
        </w:rPr>
        <w:t>22. Liu, H. et al. Loneliness and depression: a two-sample Mendelian randomization study. J. Affect. Disord. 348, 112–119 (2024).</w:t>
      </w:r>
    </w:p>
    <w:p>
      <w:pPr>
        <w:ind w:left="283" w:hanging="283"/>
      </w:pPr>
      <w:r>
        <w:rPr>
          <w:rFonts w:ascii="Times New Roman" w:hAnsi="Times New Roman" w:eastAsia="宋体"/>
          <w:b w:val="0"/>
          <w:sz w:val="24"/>
        </w:rPr>
        <w:t>23. Wu, Y. et al. Identification of genetic associations and key influences contributing to the pathway from social isolation or loneliness to depression. Eur. Arch. Psychiatry Clin. Neurosci. (2025). PMID: 41205074.</w:t>
      </w:r>
    </w:p>
    <w:p>
      <w:pPr>
        <w:ind w:left="283" w:hanging="283"/>
      </w:pPr>
      <w:r>
        <w:rPr>
          <w:rFonts w:ascii="Times New Roman" w:hAnsi="Times New Roman" w:eastAsia="宋体"/>
          <w:b w:val="0"/>
          <w:sz w:val="24"/>
        </w:rPr>
        <w:t>24. World Health Organization. Depressive disorder (depression) fact sheet. Geneva: WHO; 2023.</w:t>
      </w:r>
    </w:p>
    <w:p>
      <w:pPr>
        <w:ind w:left="283" w:hanging="283"/>
      </w:pPr>
      <w:r>
        <w:rPr>
          <w:rFonts w:ascii="Times New Roman" w:hAnsi="Times New Roman" w:eastAsia="宋体"/>
          <w:b w:val="0"/>
          <w:sz w:val="24"/>
        </w:rPr>
        <w:t>25. Steiger, J.H. Tests for comparing elements of a correlation matrix. Psychol. Bull. 87, 245–251 (1980).</w:t>
      </w:r>
    </w:p>
    <w:p>
      <w:pPr>
        <w:ind w:left="283" w:hanging="283"/>
      </w:pPr>
      <w:r>
        <w:rPr>
          <w:rFonts w:ascii="Times New Roman" w:hAnsi="Times New Roman" w:eastAsia="宋体"/>
          <w:b w:val="0"/>
          <w:sz w:val="24"/>
        </w:rPr>
        <w:t>26. Cochran, W.G. The combination of estimates from different experiments. Biometrics 10, 101–129 (1954).</w:t>
      </w:r>
    </w:p>
    <w:p>
      <w:pPr>
        <w:spacing w:before="240" w:after="120"/>
      </w:pPr>
      <w:r>
        <w:rPr>
          <w:rFonts w:ascii="Times New Roman" w:hAnsi="Times New Roman" w:eastAsia="宋体"/>
          <w:b/>
          <w:sz w:val="24"/>
        </w:rPr>
        <w:t>Figure legends</w:t>
      </w:r>
    </w:p>
    <w:p>
      <w:pPr>
        <w:spacing w:after="120"/>
      </w:pPr>
      <w:r>
        <w:rPr>
          <w:rFonts w:ascii="Times New Roman" w:hAnsi="Times New Roman" w:eastAsia="宋体"/>
          <w:b/>
          <w:sz w:val="24"/>
        </w:rPr>
        <w:t>Figure 1.</w:t>
      </w:r>
      <w:r>
        <w:rPr>
          <w:rFonts w:ascii="Times New Roman" w:hAnsi="Times New Roman" w:eastAsia="宋体"/>
          <w:b w:val="0"/>
          <w:sz w:val="24"/>
        </w:rPr>
        <w:t xml:space="preserve"> Mendelian randomization estimates for the three modelled pathways. Blue circles represent inverse-variance weighted (IVW) estimates with 95% confidence intervals; orange squares represent MR-PRESSO outlier-corrected estimates. Vertical dashed line indicates the null effect (OR = 1). *P &lt; 0.05, **P &lt; 0.01, ***P &lt; 0.001.</w:t>
      </w:r>
    </w:p>
    <w:p>
      <w:pPr>
        <w:spacing w:after="120"/>
      </w:pPr>
      <w:r>
        <w:rPr>
          <w:rFonts w:ascii="Times New Roman" w:hAnsi="Times New Roman" w:eastAsia="宋体"/>
          <w:b/>
          <w:sz w:val="24"/>
        </w:rPr>
        <w:t>Figure 2.</w:t>
      </w:r>
      <w:r>
        <w:rPr>
          <w:rFonts w:ascii="Times New Roman" w:hAnsi="Times New Roman" w:eastAsia="宋体"/>
          <w:b w:val="0"/>
          <w:sz w:val="24"/>
        </w:rPr>
        <w:t xml:space="preserve"> Two-step MR mediation model (a) and effect decomposition (b). Blue path a: loneliness → insomnia (β = 0.447, 95% CI: 0.321–0.573). Green path b: insomnia → MDD (β = 0.837, 95% CI: 0.701–0.973). Gray dashed path c': direct effect (β = 1.522, 95% CI: 1.301–1.743). Mediation proportion: 19.7% (indirect effect = 0.374).</w:t>
      </w:r>
    </w:p>
    <w:p>
      <w:pPr>
        <w:spacing w:after="120"/>
      </w:pPr>
      <w:r>
        <w:rPr>
          <w:rFonts w:ascii="Times New Roman" w:hAnsi="Times New Roman" w:eastAsia="宋体"/>
          <w:b/>
          <w:sz w:val="24"/>
        </w:rPr>
        <w:t>Figure 3.</w:t>
      </w:r>
      <w:r>
        <w:rPr>
          <w:rFonts w:ascii="Times New Roman" w:hAnsi="Times New Roman" w:eastAsia="宋体"/>
          <w:b w:val="0"/>
          <w:sz w:val="24"/>
        </w:rPr>
        <w:t xml:space="preserve"> Sensitivity analyses. (a) Method comparison (IVW, MR-Egger, weighted median, MR-PRESSO) for loneliness→MDD. (b) Leave-one-out analysis showing no single SNP drives the result.</w:t>
      </w:r>
    </w:p>
    <w:p>
      <w:pPr>
        <w:spacing w:after="120"/>
      </w:pPr>
      <w:r>
        <w:rPr>
          <w:rFonts w:ascii="Times New Roman" w:hAnsi="Times New Roman" w:eastAsia="宋体"/>
          <w:b/>
          <w:sz w:val="24"/>
        </w:rPr>
        <w:t>Figure 4.</w:t>
      </w:r>
      <w:r>
        <w:rPr>
          <w:rFonts w:ascii="Times New Roman" w:hAnsi="Times New Roman" w:eastAsia="宋体"/>
          <w:b w:val="0"/>
          <w:sz w:val="24"/>
        </w:rPr>
        <w:t xml:space="preserve"> Bidirectional MR and Steiger directionality. (a) Causal direction diagram with forward (solid arrows) and reverse (dashed arrows) effects. (b) Proportion of SNPs supporting the hypothesized causal direction.</w:t>
      </w:r>
    </w:p>
    <w:p>
      <w:pPr>
        <w:spacing w:before="240"/>
      </w:pPr>
      <w:r>
        <w:rPr>
          <w:rFonts w:ascii="Times New Roman" w:hAnsi="Times New Roman" w:eastAsia="宋体"/>
          <w:b w:val="0"/>
          <w:sz w:val="20"/>
        </w:rPr>
        <w:t>Note: Figures should be placed near their first citation in the text or in a separate Figure file. All figures are saved as high-resolution PNG (300 DPI minimum) in the R_figs_final/ directory.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