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1C0A" w14:textId="311E5450" w:rsidR="00B94332" w:rsidRPr="00E038FB" w:rsidRDefault="00302301">
      <w:pPr>
        <w:rPr>
          <w:rFonts w:ascii="TH SarabunPSK" w:hAnsi="TH SarabunPSK" w:cs="TH SarabunPSK" w:hint="cs"/>
          <w:sz w:val="32"/>
          <w:szCs w:val="32"/>
        </w:rPr>
      </w:pPr>
      <w:r w:rsidRPr="00E038FB">
        <w:rPr>
          <w:rFonts w:ascii="TH SarabunPSK" w:hAnsi="TH SarabunPSK" w:cs="TH SarabunPSK" w:hint="cs"/>
          <w:sz w:val="32"/>
          <w:szCs w:val="32"/>
        </w:rPr>
        <w:t>Thermal Indices</w:t>
      </w:r>
    </w:p>
    <w:p w14:paraId="3F8312FE" w14:textId="37635A55" w:rsidR="00302301" w:rsidRPr="00E038FB" w:rsidRDefault="00302301" w:rsidP="00E038F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038FB">
        <w:rPr>
          <w:rFonts w:ascii="TH SarabunPSK" w:hAnsi="TH SarabunPSK" w:cs="TH SarabunPSK" w:hint="cs"/>
          <w:sz w:val="32"/>
          <w:szCs w:val="32"/>
          <w:cs/>
        </w:rPr>
        <w:t>การเปลี่ยนแปลงสภาพภูมิอากาศเชื่อมโยงกับความถี่และความรุนแรงที่เพิ่มขึ้นของเหตุการณ์สภาพอากาศสุดขั้วในระดับโลก ดังนั้น การศึกษาเกี่ยวกับความรู้สึกไม่สบายจากความเครียดจากความร้อนและความเสี่ยงต่อสุขภาพอันเป็นผลมาจากการสัมผัสกับความร้อนหรือความเย็นจัดจึงได้รับความสนใจ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อย่างมาก (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Dasgupta et al. 2024;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Kiarsi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et al. 2023)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ส่ง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ผลกระทบ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อย่างชัดเจน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ต่อสุขภาพของมนุษย์ โดยเฉพาะอย่างยิ่งในกลุ่มประชากรที่เปราะบาง เช่น ผู้สูงอายุ ผู้ป่วยเรื้อรัง และชุมชนที่ด้อยโอกาสทางเศรษฐกิจและสังคม (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Berg et al. 2015)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 xml:space="preserve">ผลการศึกษาโดย 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Lam et al. (2021)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สรุปว่าการประเมินโดยใช้ดัชนีความร้อนภายนอกอาคารสามารถนำไปใช้ได้อย่างมีประสิทธิภาพเพื่อเป็นข้อมูลในการออกแบบเมืองและเสนอกลยุทธ์บรรเทาผลกระทบด้านลบจากความเครียดจากความร้อนให้น้อยที่สุด อย่างไรก็ตาม การนำดัชนีเหล่านี้ไปใช้อย่างมีประสิทธิภาพจำเป็นต้องมีความเข้าใจอย่างลึกซึ้งเกี่ยวกับแบบจำลองเชิงตัวเลขที่เลือก สิ่งสำคัญที่ต้องพิจารณา</w:t>
      </w:r>
      <w:r w:rsidRPr="00E038FB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วัตถุประสงค์ของการศึกษา ข้อมูล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นำเข้า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ที่จำเป็น และสภาพภูมิอากาศ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ของพื้นที่ศึกษา เป็นต้น</w:t>
      </w:r>
    </w:p>
    <w:p w14:paraId="3C800BA0" w14:textId="21DDEF19" w:rsidR="00302301" w:rsidRPr="00E038FB" w:rsidRDefault="00302301" w:rsidP="00E038F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038FB">
        <w:rPr>
          <w:rFonts w:ascii="TH SarabunPSK" w:hAnsi="TH SarabunPSK" w:cs="TH SarabunPSK" w:hint="cs"/>
          <w:sz w:val="32"/>
          <w:szCs w:val="32"/>
          <w:cs/>
        </w:rPr>
        <w:t>ดัชนีความร้อนส่วนใหญ่ได้มาจากผลการวัด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038FB">
        <w:rPr>
          <w:rFonts w:ascii="TH SarabunPSK" w:hAnsi="TH SarabunPSK" w:cs="TH SarabunPSK" w:hint="cs"/>
          <w:sz w:val="32"/>
          <w:szCs w:val="32"/>
          <w:cs/>
        </w:rPr>
        <w:t xml:space="preserve">ทั่วไป เช่น ลมหนาว 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(wind chill)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กำลังทำความเย็น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(cooling power)</w:t>
      </w:r>
      <w:r w:rsidRPr="00E038FB">
        <w:rPr>
          <w:rFonts w:ascii="TH SarabunPSK" w:hAnsi="TH SarabunPSK" w:cs="TH SarabunPSK" w:hint="cs"/>
          <w:sz w:val="32"/>
          <w:szCs w:val="32"/>
          <w:cs/>
        </w:rPr>
        <w:t xml:space="preserve"> และอุณหภูมิ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wet bulb</w:t>
      </w:r>
      <w:r w:rsidRPr="00E038FB">
        <w:rPr>
          <w:rFonts w:ascii="TH SarabunPSK" w:hAnsi="TH SarabunPSK" w:cs="TH SarabunPSK" w:hint="cs"/>
          <w:sz w:val="32"/>
          <w:szCs w:val="32"/>
          <w:cs/>
        </w:rPr>
        <w:t xml:space="preserve"> ควบคู่ไปกับการตอบสนองทางสรีรวิทยาที่สังเกตได้ต่อความเครียดจากความร้อน ซึ่งรวมถึงความเครียดทางสรีรวิทยาและอุณหภูมิจริง (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Blazejczyk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et al. 2012)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ดัชนีเชิงประจักษ์จำนวนมาก เช่น ดัชนีความร้อน (</w:t>
      </w:r>
      <w:r w:rsidRPr="00E038FB">
        <w:rPr>
          <w:rFonts w:ascii="TH SarabunPSK" w:hAnsi="TH SarabunPSK" w:cs="TH SarabunPSK" w:hint="cs"/>
          <w:sz w:val="32"/>
          <w:szCs w:val="32"/>
        </w:rPr>
        <w:t>H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eat </w:t>
      </w:r>
      <w:r w:rsidRPr="00E038FB">
        <w:rPr>
          <w:rFonts w:ascii="TH SarabunPSK" w:hAnsi="TH SarabunPSK" w:cs="TH SarabunPSK" w:hint="cs"/>
          <w:sz w:val="32"/>
          <w:szCs w:val="32"/>
        </w:rPr>
        <w:t>I</w:t>
      </w:r>
      <w:r w:rsidRPr="00E038FB">
        <w:rPr>
          <w:rFonts w:ascii="TH SarabunPSK" w:hAnsi="TH SarabunPSK" w:cs="TH SarabunPSK" w:hint="cs"/>
          <w:sz w:val="32"/>
          <w:szCs w:val="32"/>
        </w:rPr>
        <w:t>ndex: HI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), Humidex,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อุณหภูมิจริงสุทธิ (</w:t>
      </w:r>
      <w:r w:rsidRPr="00E038FB">
        <w:rPr>
          <w:rFonts w:ascii="TH SarabunPSK" w:hAnsi="TH SarabunPSK" w:cs="TH SarabunPSK" w:hint="cs"/>
          <w:sz w:val="32"/>
          <w:szCs w:val="32"/>
        </w:rPr>
        <w:t>Net Effective Temperature</w:t>
      </w:r>
      <w:r w:rsidRPr="00E038FB">
        <w:rPr>
          <w:rFonts w:ascii="TH SarabunPSK" w:hAnsi="TH SarabunPSK" w:cs="TH SarabunPSK" w:hint="cs"/>
          <w:sz w:val="32"/>
          <w:szCs w:val="32"/>
        </w:rPr>
        <w:t>: NET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และอุณหภูมิลมหนาว (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Wind Chill </w:t>
      </w:r>
      <w:proofErr w:type="gramStart"/>
      <w:r w:rsidRPr="00E038FB">
        <w:rPr>
          <w:rFonts w:ascii="TH SarabunPSK" w:hAnsi="TH SarabunPSK" w:cs="TH SarabunPSK" w:hint="cs"/>
          <w:sz w:val="32"/>
          <w:szCs w:val="32"/>
        </w:rPr>
        <w:t>Temperature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E038FB">
        <w:rPr>
          <w:rFonts w:ascii="TH SarabunPSK" w:hAnsi="TH SarabunPSK" w:cs="TH SarabunPSK" w:hint="cs"/>
          <w:sz w:val="32"/>
          <w:szCs w:val="32"/>
        </w:rPr>
        <w:t xml:space="preserve"> 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WCT)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ล้วนใช้พารามิเตอร์ด้านสิ่งแวดล้อมเพียงสองหรือสามตัว (เช่น อุณหภูมิอากาศและความชื้นสัมพัทธ์) ดังนั้น การนำไปใช้จึงจำกัดเฉพาะในสภาพแวดล้อมในร่มหรือกลางแจ้งที่มีร่มเงา (</w:t>
      </w:r>
      <w:r w:rsidRPr="00E038FB">
        <w:rPr>
          <w:rFonts w:ascii="TH SarabunPSK" w:hAnsi="TH SarabunPSK" w:cs="TH SarabunPSK" w:hint="cs"/>
          <w:sz w:val="32"/>
          <w:szCs w:val="32"/>
        </w:rPr>
        <w:t>Yan, Xu, and Yue 2021)</w:t>
      </w:r>
    </w:p>
    <w:p w14:paraId="53AE7725" w14:textId="1A42D5FF" w:rsidR="00302301" w:rsidRPr="00E038FB" w:rsidRDefault="00302301" w:rsidP="00E038F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038FB">
        <w:rPr>
          <w:rFonts w:ascii="TH SarabunPSK" w:hAnsi="TH SarabunPSK" w:cs="TH SarabunPSK" w:hint="cs"/>
          <w:sz w:val="32"/>
          <w:szCs w:val="32"/>
          <w:cs/>
        </w:rPr>
        <w:t>ในทางตรงกันข้าม ดัชนีหลายตัวที่ได้รับการพัฒนา</w:t>
      </w:r>
      <w:r w:rsidRPr="00E03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เช่น ดัชนีสภาพภูมิอากาศความร้อนสากล (</w:t>
      </w:r>
      <w:r w:rsidRPr="00E038FB">
        <w:rPr>
          <w:rFonts w:ascii="TH SarabunPSK" w:hAnsi="TH SarabunPSK" w:cs="TH SarabunPSK" w:hint="cs"/>
          <w:sz w:val="32"/>
          <w:szCs w:val="32"/>
        </w:rPr>
        <w:t>the Universal Thermal Climate Index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: 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UTCI)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อุณหภูมิมาตรฐานที่มีประสิทธิภาพ (</w:t>
      </w:r>
      <w:r w:rsidR="00E038FB" w:rsidRPr="00E038FB">
        <w:rPr>
          <w:rFonts w:ascii="TH SarabunPSK" w:hAnsi="TH SarabunPSK" w:cs="TH SarabunPSK" w:hint="cs"/>
          <w:sz w:val="32"/>
          <w:szCs w:val="32"/>
        </w:rPr>
        <w:t>Standard Effective Temperature</w:t>
      </w:r>
      <w:r w:rsidR="00E038FB" w:rsidRPr="00E038FB">
        <w:rPr>
          <w:rFonts w:ascii="TH SarabunPSK" w:hAnsi="TH SarabunPSK" w:cs="TH SarabunPSK" w:hint="cs"/>
          <w:sz w:val="32"/>
          <w:szCs w:val="32"/>
        </w:rPr>
        <w:t xml:space="preserve">: 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SET)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และอุณหภูมิเทียบเท่าทางสรีรวิทยา (</w:t>
      </w:r>
      <w:r w:rsidR="00E038FB" w:rsidRPr="00E038FB">
        <w:rPr>
          <w:rFonts w:ascii="TH SarabunPSK" w:hAnsi="TH SarabunPSK" w:cs="TH SarabunPSK" w:hint="cs"/>
          <w:sz w:val="32"/>
          <w:szCs w:val="32"/>
        </w:rPr>
        <w:t>Physiological Equivalent Temperature</w:t>
      </w:r>
      <w:r w:rsidR="00E038FB" w:rsidRPr="00E038FB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PET) </w:t>
      </w:r>
      <w:r w:rsidR="00E038FB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E038FB">
        <w:rPr>
          <w:rFonts w:ascii="TH SarabunPSK" w:hAnsi="TH SarabunPSK" w:cs="TH SarabunPSK" w:hint="cs"/>
          <w:sz w:val="32"/>
          <w:szCs w:val="32"/>
          <w:cs/>
        </w:rPr>
        <w:t xml:space="preserve">รวมปัจจัยทางอุตุนิยมวิทยาที่หลากหลายเข้าด้วยกัน ความซับซ้อนที่เพิ่มขึ้นนี้ทำให้สามารถนำไปประยุกต์ใช้ได้ทั้งภายในและภายนอกอาคาร ยกตัวอย่างเช่น ดัชนี 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UTCI </w:t>
      </w:r>
      <w:r w:rsidRPr="00E038FB">
        <w:rPr>
          <w:rFonts w:ascii="TH SarabunPSK" w:hAnsi="TH SarabunPSK" w:cs="TH SarabunPSK" w:hint="cs"/>
          <w:sz w:val="32"/>
          <w:szCs w:val="32"/>
          <w:cs/>
        </w:rPr>
        <w:t>ครอบคลุมตัวแปรทางอุตุนิยมวิทยาหลายตัว (รวมถึงอุณหภูมิอากาศ ความชื้น ความเร็วลม และอุณหภูมิรังสีเฉลี่ย) นอกเหนือจากปัจจัยส่วนบุคคล เช่น อัตราการเผา</w:t>
      </w:r>
      <w:r w:rsidRPr="00E038FB">
        <w:rPr>
          <w:rFonts w:ascii="TH SarabunPSK" w:hAnsi="TH SarabunPSK" w:cs="TH SarabunPSK" w:hint="cs"/>
          <w:sz w:val="32"/>
          <w:szCs w:val="32"/>
          <w:cs/>
        </w:rPr>
        <w:lastRenderedPageBreak/>
        <w:t>ผลาญและฉนวนกันความร้อนของเสื้อผ้า วิธีการแบบองค์รวมนี้ทำให้สามารถนำไปประยุกต์ใช้ได้ในสภาพภูมิอากาศ ฤดูกาล และระดับพื้นที่ที่หลากหลาย</w:t>
      </w:r>
    </w:p>
    <w:p w14:paraId="594E14D1" w14:textId="233AF925" w:rsidR="00302301" w:rsidRPr="00E038FB" w:rsidRDefault="00E038FB" w:rsidP="00E038F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302301" w:rsidRPr="00E038FB">
        <w:rPr>
          <w:rFonts w:ascii="TH SarabunPSK" w:hAnsi="TH SarabunPSK" w:cs="TH SarabunPSK" w:hint="cs"/>
          <w:sz w:val="32"/>
          <w:szCs w:val="32"/>
          <w:cs/>
        </w:rPr>
        <w:t xml:space="preserve"> แบบจำลอง </w:t>
      </w:r>
      <w:r w:rsidR="00302301" w:rsidRPr="00E038FB">
        <w:rPr>
          <w:rFonts w:ascii="TH SarabunPSK" w:hAnsi="TH SarabunPSK" w:cs="TH SarabunPSK" w:hint="cs"/>
          <w:sz w:val="32"/>
          <w:szCs w:val="32"/>
        </w:rPr>
        <w:t>COMFA</w:t>
      </w:r>
      <w:r w:rsidR="00302301" w:rsidRPr="00E038FB">
        <w:rPr>
          <w:rFonts w:ascii="TH SarabunPSK" w:hAnsi="TH SarabunPSK" w:cs="TH SarabunPSK" w:hint="cs"/>
          <w:sz w:val="32"/>
          <w:szCs w:val="32"/>
          <w:cs/>
        </w:rPr>
        <w:t xml:space="preserve"> ได้ถูกนำมาประยุกต์ใช้เป็นเครื่องมือประเมินโดยอาศัยสมดุลพลังงานของมนุษย์ในสภาพแวดล้อมกลางแจ้งที่กำหนด สูตรนี้ประกอบด้วยพารามิเตอร์ทางเทอร์โมสรีรวิทยาหลัก (เช่น อุณหภูมิเสื้อผ้าและผิวหนัง) และปรับแต่งการคำนวณฟลัก</w:t>
      </w:r>
      <w:proofErr w:type="spellStart"/>
      <w:r w:rsidR="00302301" w:rsidRPr="00E038FB"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 w:rsidR="00302301" w:rsidRPr="00E038FB">
        <w:rPr>
          <w:rFonts w:ascii="TH SarabunPSK" w:hAnsi="TH SarabunPSK" w:cs="TH SarabunPSK" w:hint="cs"/>
          <w:sz w:val="32"/>
          <w:szCs w:val="32"/>
          <w:cs/>
        </w:rPr>
        <w:t>พลังงาน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301" w:rsidRPr="00E038FB">
        <w:rPr>
          <w:rFonts w:ascii="TH SarabunPSK" w:hAnsi="TH SarabunPSK" w:cs="TH SarabunPSK" w:hint="cs"/>
          <w:sz w:val="32"/>
          <w:szCs w:val="32"/>
          <w:cs/>
        </w:rPr>
        <w:t xml:space="preserve">โดยการแยกความแตกต่างของพลังงานที่แผ่ออกมาและลดความซับซ้อนของการสูญเสียความร้อนจากการหายใจ ด้วยการวัดปริมาณองค์ประกอบพลังงานแต่ละองค์ประกอบเหล่านี้ แบบจำลอง </w:t>
      </w:r>
      <w:r w:rsidR="00302301" w:rsidRPr="00E038FB">
        <w:rPr>
          <w:rFonts w:ascii="TH SarabunPSK" w:hAnsi="TH SarabunPSK" w:cs="TH SarabunPSK" w:hint="cs"/>
          <w:sz w:val="32"/>
          <w:szCs w:val="32"/>
        </w:rPr>
        <w:t xml:space="preserve">COMFA </w:t>
      </w:r>
      <w:r w:rsidR="00302301" w:rsidRPr="00E038FB">
        <w:rPr>
          <w:rFonts w:ascii="TH SarabunPSK" w:hAnsi="TH SarabunPSK" w:cs="TH SarabunPSK" w:hint="cs"/>
          <w:sz w:val="32"/>
          <w:szCs w:val="32"/>
          <w:cs/>
        </w:rPr>
        <w:t>จึงสามารถระบุแหล่งที่มาหลักของความรู้สึกไม่สบายจากความร้อนได้แม่นยำยิ่งขึ้น ความชัดเจนนี้ช่วยให้นักออกแบบมีข้อมูลเชิงลึกที่ตรงเป้าหมาย ช่วยให้สามารถพัฒนากลยุทธ์การออกแบบที่มีประสิทธิภาพและปรับให้เข้ากับสภาพภูมิอากาศได้มากขึ้น (</w:t>
      </w:r>
      <w:r w:rsidR="00302301" w:rsidRPr="00E038FB">
        <w:rPr>
          <w:rFonts w:ascii="TH SarabunPSK" w:hAnsi="TH SarabunPSK" w:cs="TH SarabunPSK" w:hint="cs"/>
          <w:sz w:val="32"/>
          <w:szCs w:val="32"/>
        </w:rPr>
        <w:t>Wu et al. 2023)</w:t>
      </w:r>
    </w:p>
    <w:p w14:paraId="0A842B2D" w14:textId="77777777" w:rsidR="00302301" w:rsidRPr="00E038FB" w:rsidRDefault="00302301">
      <w:pPr>
        <w:rPr>
          <w:rFonts w:ascii="TH SarabunPSK" w:hAnsi="TH SarabunPSK" w:cs="TH SarabunPSK" w:hint="cs"/>
          <w:sz w:val="32"/>
          <w:szCs w:val="32"/>
        </w:rPr>
      </w:pPr>
    </w:p>
    <w:p w14:paraId="4131E928" w14:textId="77777777" w:rsidR="00302301" w:rsidRPr="00E038FB" w:rsidRDefault="00302301">
      <w:pPr>
        <w:rPr>
          <w:rFonts w:ascii="TH SarabunPSK" w:hAnsi="TH SarabunPSK" w:cs="TH SarabunPSK" w:hint="cs"/>
          <w:sz w:val="32"/>
          <w:szCs w:val="32"/>
          <w:cs/>
        </w:rPr>
      </w:pPr>
      <w:r w:rsidRPr="00E038FB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4136416A" w14:textId="4103932C" w:rsidR="00302301" w:rsidRPr="00E038FB" w:rsidRDefault="00302301">
      <w:pPr>
        <w:rPr>
          <w:rFonts w:ascii="TH SarabunPSK" w:hAnsi="TH SarabunPSK" w:cs="TH SarabunPSK" w:hint="cs"/>
          <w:sz w:val="32"/>
          <w:szCs w:val="32"/>
        </w:rPr>
      </w:pPr>
      <w:r w:rsidRPr="00E038FB">
        <w:rPr>
          <w:rFonts w:ascii="TH SarabunPSK" w:hAnsi="TH SarabunPSK" w:cs="TH SarabunPSK" w:hint="cs"/>
          <w:sz w:val="32"/>
          <w:szCs w:val="32"/>
          <w:cs/>
        </w:rPr>
        <w:lastRenderedPageBreak/>
        <w:t>เอกสารอ้างอิง</w:t>
      </w:r>
    </w:p>
    <w:p w14:paraId="1D811A32" w14:textId="77777777" w:rsidR="00302301" w:rsidRPr="00E038FB" w:rsidRDefault="00302301" w:rsidP="00302301">
      <w:pPr>
        <w:pStyle w:val="Bibliography"/>
        <w:rPr>
          <w:rFonts w:ascii="TH SarabunPSK" w:hAnsi="TH SarabunPSK" w:cs="TH SarabunPSK" w:hint="cs"/>
          <w:sz w:val="32"/>
          <w:szCs w:val="32"/>
        </w:rPr>
      </w:pPr>
      <w:bookmarkStart w:id="0" w:name="ref-vandenberg2015"/>
      <w:bookmarkStart w:id="1" w:name="refs"/>
      <w:r w:rsidRPr="00E038FB">
        <w:rPr>
          <w:rFonts w:ascii="TH SarabunPSK" w:hAnsi="TH SarabunPSK" w:cs="TH SarabunPSK" w:hint="cs"/>
          <w:sz w:val="32"/>
          <w:szCs w:val="32"/>
        </w:rPr>
        <w:t xml:space="preserve">Berg, Magdalena van den, Wanda Wendel-Vos, Mireille van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Poppel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Han Kemper, Willem van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Mechelen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and Jolanda Maas. 2015. “Health Benefits of Green Spaces in the Living Environment: A Systematic Review of Epidemiological Studies.” </w:t>
      </w:r>
      <w:r w:rsidRPr="00E038FB">
        <w:rPr>
          <w:rFonts w:ascii="TH SarabunPSK" w:hAnsi="TH SarabunPSK" w:cs="TH SarabunPSK" w:hint="cs"/>
          <w:i/>
          <w:iCs/>
          <w:sz w:val="32"/>
          <w:szCs w:val="32"/>
        </w:rPr>
        <w:t>URBAN FORESTRY &amp; URBAN GREENING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14 (4): 806–16. </w:t>
      </w:r>
      <w:hyperlink r:id="rId4">
        <w:r w:rsidRPr="00E038FB">
          <w:rPr>
            <w:rStyle w:val="Hyperlink"/>
            <w:rFonts w:ascii="TH SarabunPSK" w:hAnsi="TH SarabunPSK" w:cs="TH SarabunPSK" w:hint="cs"/>
            <w:sz w:val="32"/>
            <w:szCs w:val="32"/>
          </w:rPr>
          <w:t>https://doi.org/10.1016/j.ufug.2015.07.008</w:t>
        </w:r>
      </w:hyperlink>
      <w:r w:rsidRPr="00E038FB">
        <w:rPr>
          <w:rFonts w:ascii="TH SarabunPSK" w:hAnsi="TH SarabunPSK" w:cs="TH SarabunPSK" w:hint="cs"/>
          <w:sz w:val="32"/>
          <w:szCs w:val="32"/>
        </w:rPr>
        <w:t>.</w:t>
      </w:r>
    </w:p>
    <w:p w14:paraId="7CD6BE03" w14:textId="77777777" w:rsidR="00302301" w:rsidRPr="00E038FB" w:rsidRDefault="00302301" w:rsidP="00302301">
      <w:pPr>
        <w:pStyle w:val="Bibliography"/>
        <w:rPr>
          <w:rFonts w:ascii="TH SarabunPSK" w:hAnsi="TH SarabunPSK" w:cs="TH SarabunPSK" w:hint="cs"/>
          <w:sz w:val="32"/>
          <w:szCs w:val="32"/>
        </w:rPr>
      </w:pPr>
      <w:bookmarkStart w:id="2" w:name="ref-blazejczyk2012"/>
      <w:bookmarkEnd w:id="0"/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Blazejczyk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Krzysztof, Yoram Epstein, Gerd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Jendritzky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Henning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Staiger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and Birger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Tinz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. 2012. “Comparison of UTCI to Selected Thermal Indices.” </w:t>
      </w:r>
      <w:r w:rsidRPr="00E038FB">
        <w:rPr>
          <w:rFonts w:ascii="TH SarabunPSK" w:hAnsi="TH SarabunPSK" w:cs="TH SarabunPSK" w:hint="cs"/>
          <w:i/>
          <w:iCs/>
          <w:sz w:val="32"/>
          <w:szCs w:val="32"/>
        </w:rPr>
        <w:t>International Journal of Biometeorology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56 (3): 515–35. </w:t>
      </w:r>
      <w:hyperlink r:id="rId5">
        <w:r w:rsidRPr="00E038FB">
          <w:rPr>
            <w:rStyle w:val="Hyperlink"/>
            <w:rFonts w:ascii="TH SarabunPSK" w:hAnsi="TH SarabunPSK" w:cs="TH SarabunPSK" w:hint="cs"/>
            <w:sz w:val="32"/>
            <w:szCs w:val="32"/>
          </w:rPr>
          <w:t>https://doi.org/10.1007/s00484-011-0453-2</w:t>
        </w:r>
      </w:hyperlink>
      <w:r w:rsidRPr="00E038FB">
        <w:rPr>
          <w:rFonts w:ascii="TH SarabunPSK" w:hAnsi="TH SarabunPSK" w:cs="TH SarabunPSK" w:hint="cs"/>
          <w:sz w:val="32"/>
          <w:szCs w:val="32"/>
        </w:rPr>
        <w:t>.</w:t>
      </w:r>
    </w:p>
    <w:p w14:paraId="55446EBA" w14:textId="77777777" w:rsidR="00302301" w:rsidRPr="00E038FB" w:rsidRDefault="00302301" w:rsidP="00302301">
      <w:pPr>
        <w:pStyle w:val="Bibliography"/>
        <w:rPr>
          <w:rFonts w:ascii="TH SarabunPSK" w:hAnsi="TH SarabunPSK" w:cs="TH SarabunPSK" w:hint="cs"/>
          <w:sz w:val="32"/>
          <w:szCs w:val="32"/>
        </w:rPr>
      </w:pPr>
      <w:bookmarkStart w:id="3" w:name="ref-dasgupta2024"/>
      <w:bookmarkEnd w:id="2"/>
      <w:r w:rsidRPr="00E038FB">
        <w:rPr>
          <w:rFonts w:ascii="TH SarabunPSK" w:hAnsi="TH SarabunPSK" w:cs="TH SarabunPSK" w:hint="cs"/>
          <w:sz w:val="32"/>
          <w:szCs w:val="32"/>
        </w:rPr>
        <w:t xml:space="preserve">Dasgupta,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Shouro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Elizabeth J. Z. Robinson, Soheil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Shayegh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Francesco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Bosello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R.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Jisung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Park, and Simon N. Gosling. 2024. “Heat Stress and the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Labour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Force.” </w:t>
      </w:r>
      <w:r w:rsidRPr="00E038FB">
        <w:rPr>
          <w:rFonts w:ascii="TH SarabunPSK" w:hAnsi="TH SarabunPSK" w:cs="TH SarabunPSK" w:hint="cs"/>
          <w:i/>
          <w:iCs/>
          <w:sz w:val="32"/>
          <w:szCs w:val="32"/>
        </w:rPr>
        <w:t>Nature Reviews Earth &amp; Environment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, November. </w:t>
      </w:r>
      <w:hyperlink r:id="rId6">
        <w:r w:rsidRPr="00E038FB">
          <w:rPr>
            <w:rStyle w:val="Hyperlink"/>
            <w:rFonts w:ascii="TH SarabunPSK" w:hAnsi="TH SarabunPSK" w:cs="TH SarabunPSK" w:hint="cs"/>
            <w:sz w:val="32"/>
            <w:szCs w:val="32"/>
          </w:rPr>
          <w:t>https://doi.org/10.1038/s43017-024-00606-1</w:t>
        </w:r>
      </w:hyperlink>
      <w:r w:rsidRPr="00E038FB">
        <w:rPr>
          <w:rFonts w:ascii="TH SarabunPSK" w:hAnsi="TH SarabunPSK" w:cs="TH SarabunPSK" w:hint="cs"/>
          <w:sz w:val="32"/>
          <w:szCs w:val="32"/>
        </w:rPr>
        <w:t>.</w:t>
      </w:r>
    </w:p>
    <w:p w14:paraId="3D58B64E" w14:textId="77777777" w:rsidR="00302301" w:rsidRPr="00E038FB" w:rsidRDefault="00302301" w:rsidP="00302301">
      <w:pPr>
        <w:pStyle w:val="Bibliography"/>
        <w:rPr>
          <w:rFonts w:ascii="TH SarabunPSK" w:hAnsi="TH SarabunPSK" w:cs="TH SarabunPSK" w:hint="cs"/>
          <w:sz w:val="32"/>
          <w:szCs w:val="32"/>
        </w:rPr>
      </w:pPr>
      <w:bookmarkStart w:id="4" w:name="ref-kiarsi2023"/>
      <w:bookmarkEnd w:id="3"/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Kiarsi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Maryam, Mohammadreza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Amiresmaili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Mohammad Reza Mahmoodi,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Hojjat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Farahmandnia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Nouzar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Nakhaee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Armin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Zareiyan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and Hamidreza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Aghababaeian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. 2023. “Heat Waves and Adaptation: A Global Systematic Review.” </w:t>
      </w:r>
      <w:r w:rsidRPr="00E038FB">
        <w:rPr>
          <w:rFonts w:ascii="TH SarabunPSK" w:hAnsi="TH SarabunPSK" w:cs="TH SarabunPSK" w:hint="cs"/>
          <w:i/>
          <w:iCs/>
          <w:sz w:val="32"/>
          <w:szCs w:val="32"/>
        </w:rPr>
        <w:t>Journal of Thermal Biology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116: 103588. https://doi.org/</w:t>
      </w:r>
      <w:hyperlink r:id="rId7">
        <w:r w:rsidRPr="00E038FB">
          <w:rPr>
            <w:rStyle w:val="Hyperlink"/>
            <w:rFonts w:ascii="TH SarabunPSK" w:hAnsi="TH SarabunPSK" w:cs="TH SarabunPSK" w:hint="cs"/>
            <w:sz w:val="32"/>
            <w:szCs w:val="32"/>
          </w:rPr>
          <w:t>https://doi.org/10.1016/j.jtherbio.2023.103588</w:t>
        </w:r>
      </w:hyperlink>
      <w:r w:rsidRPr="00E038FB">
        <w:rPr>
          <w:rFonts w:ascii="TH SarabunPSK" w:hAnsi="TH SarabunPSK" w:cs="TH SarabunPSK" w:hint="cs"/>
          <w:sz w:val="32"/>
          <w:szCs w:val="32"/>
        </w:rPr>
        <w:t>.</w:t>
      </w:r>
    </w:p>
    <w:p w14:paraId="0F5694EC" w14:textId="77777777" w:rsidR="00302301" w:rsidRPr="00E038FB" w:rsidRDefault="00302301" w:rsidP="00302301">
      <w:pPr>
        <w:pStyle w:val="Bibliography"/>
        <w:rPr>
          <w:rFonts w:ascii="TH SarabunPSK" w:hAnsi="TH SarabunPSK" w:cs="TH SarabunPSK" w:hint="cs"/>
          <w:sz w:val="32"/>
          <w:szCs w:val="32"/>
        </w:rPr>
      </w:pPr>
      <w:bookmarkStart w:id="5" w:name="ref-lam2021"/>
      <w:bookmarkEnd w:id="4"/>
      <w:r w:rsidRPr="00E038FB">
        <w:rPr>
          <w:rFonts w:ascii="TH SarabunPSK" w:hAnsi="TH SarabunPSK" w:cs="TH SarabunPSK" w:hint="cs"/>
          <w:sz w:val="32"/>
          <w:szCs w:val="32"/>
        </w:rPr>
        <w:t xml:space="preserve">Lam, Cho Kwong Charlie,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Hyunjung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Lee, Shing-Ru Yang, and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Sookuk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Park. 2021. “A Review on the Significance and Perspective of the Numerical Simulations of Outdoor Thermal Environment.” </w:t>
      </w:r>
      <w:r w:rsidRPr="00E038FB">
        <w:rPr>
          <w:rFonts w:ascii="TH SarabunPSK" w:hAnsi="TH SarabunPSK" w:cs="TH SarabunPSK" w:hint="cs"/>
          <w:i/>
          <w:iCs/>
          <w:sz w:val="32"/>
          <w:szCs w:val="32"/>
        </w:rPr>
        <w:t>Sustainable Cities and Society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71: 102971. https://doi.org/</w:t>
      </w:r>
      <w:hyperlink r:id="rId8">
        <w:r w:rsidRPr="00E038FB">
          <w:rPr>
            <w:rStyle w:val="Hyperlink"/>
            <w:rFonts w:ascii="TH SarabunPSK" w:hAnsi="TH SarabunPSK" w:cs="TH SarabunPSK" w:hint="cs"/>
            <w:sz w:val="32"/>
            <w:szCs w:val="32"/>
          </w:rPr>
          <w:t>https://doi.org/10.1016/j.scs.2021.102971</w:t>
        </w:r>
      </w:hyperlink>
      <w:r w:rsidRPr="00E038FB">
        <w:rPr>
          <w:rFonts w:ascii="TH SarabunPSK" w:hAnsi="TH SarabunPSK" w:cs="TH SarabunPSK" w:hint="cs"/>
          <w:sz w:val="32"/>
          <w:szCs w:val="32"/>
        </w:rPr>
        <w:t>.</w:t>
      </w:r>
    </w:p>
    <w:p w14:paraId="079BD943" w14:textId="77777777" w:rsidR="00302301" w:rsidRPr="00E038FB" w:rsidRDefault="00302301" w:rsidP="00302301">
      <w:pPr>
        <w:pStyle w:val="Bibliography"/>
        <w:rPr>
          <w:rFonts w:ascii="TH SarabunPSK" w:hAnsi="TH SarabunPSK" w:cs="TH SarabunPSK" w:hint="cs"/>
          <w:sz w:val="32"/>
          <w:szCs w:val="32"/>
        </w:rPr>
      </w:pPr>
      <w:bookmarkStart w:id="6" w:name="ref-wu2023"/>
      <w:bookmarkEnd w:id="5"/>
      <w:r w:rsidRPr="00E038FB">
        <w:rPr>
          <w:rFonts w:ascii="TH SarabunPSK" w:hAnsi="TH SarabunPSK" w:cs="TH SarabunPSK" w:hint="cs"/>
          <w:sz w:val="32"/>
          <w:szCs w:val="32"/>
        </w:rPr>
        <w:t xml:space="preserve">Wu,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Renzhi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Xiaoshan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Fang, Robert Brown, Shuang Liu, and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Huihui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Zhao. 2023. “The COMFA Model for Assessing Courtyard Thermal Comfort in Hot and Humid Regions: A Comparative Study with Existing Models.” </w:t>
      </w:r>
      <w:r w:rsidRPr="00E038FB">
        <w:rPr>
          <w:rFonts w:ascii="TH SarabunPSK" w:hAnsi="TH SarabunPSK" w:cs="TH SarabunPSK" w:hint="cs"/>
          <w:i/>
          <w:iCs/>
          <w:sz w:val="32"/>
          <w:szCs w:val="32"/>
        </w:rPr>
        <w:t>Building and Environment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234 (April): 110150. </w:t>
      </w:r>
      <w:hyperlink r:id="rId9">
        <w:r w:rsidRPr="00E038FB">
          <w:rPr>
            <w:rStyle w:val="Hyperlink"/>
            <w:rFonts w:ascii="TH SarabunPSK" w:hAnsi="TH SarabunPSK" w:cs="TH SarabunPSK" w:hint="cs"/>
            <w:sz w:val="32"/>
            <w:szCs w:val="32"/>
          </w:rPr>
          <w:t>https://doi.org/10.1016/j.buildenv.2023.110150</w:t>
        </w:r>
      </w:hyperlink>
      <w:r w:rsidRPr="00E038FB">
        <w:rPr>
          <w:rFonts w:ascii="TH SarabunPSK" w:hAnsi="TH SarabunPSK" w:cs="TH SarabunPSK" w:hint="cs"/>
          <w:sz w:val="32"/>
          <w:szCs w:val="32"/>
        </w:rPr>
        <w:t>.</w:t>
      </w:r>
    </w:p>
    <w:p w14:paraId="00EA834F" w14:textId="77777777" w:rsidR="00302301" w:rsidRPr="00E038FB" w:rsidRDefault="00302301" w:rsidP="00302301">
      <w:pPr>
        <w:pStyle w:val="Bibliography"/>
        <w:rPr>
          <w:rFonts w:ascii="TH SarabunPSK" w:hAnsi="TH SarabunPSK" w:cs="TH SarabunPSK" w:hint="cs"/>
          <w:sz w:val="32"/>
          <w:szCs w:val="32"/>
        </w:rPr>
      </w:pPr>
      <w:bookmarkStart w:id="7" w:name="ref-yan2021a"/>
      <w:bookmarkEnd w:id="6"/>
      <w:r w:rsidRPr="00E038FB">
        <w:rPr>
          <w:rFonts w:ascii="TH SarabunPSK" w:hAnsi="TH SarabunPSK" w:cs="TH SarabunPSK" w:hint="cs"/>
          <w:sz w:val="32"/>
          <w:szCs w:val="32"/>
        </w:rPr>
        <w:t xml:space="preserve">Yan,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Yechao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E038FB">
        <w:rPr>
          <w:rFonts w:ascii="TH SarabunPSK" w:hAnsi="TH SarabunPSK" w:cs="TH SarabunPSK" w:hint="cs"/>
          <w:sz w:val="32"/>
          <w:szCs w:val="32"/>
        </w:rPr>
        <w:t>Yangyang</w:t>
      </w:r>
      <w:proofErr w:type="spellEnd"/>
      <w:r w:rsidRPr="00E038FB">
        <w:rPr>
          <w:rFonts w:ascii="TH SarabunPSK" w:hAnsi="TH SarabunPSK" w:cs="TH SarabunPSK" w:hint="cs"/>
          <w:sz w:val="32"/>
          <w:szCs w:val="32"/>
        </w:rPr>
        <w:t xml:space="preserve"> Xu, and Shuping Yue. 2021. “A High-Spatial-Resolution Dataset of Human Thermal Stress Indices over South and East Asia.” </w:t>
      </w:r>
      <w:r w:rsidRPr="00E038FB">
        <w:rPr>
          <w:rFonts w:ascii="TH SarabunPSK" w:hAnsi="TH SarabunPSK" w:cs="TH SarabunPSK" w:hint="cs"/>
          <w:i/>
          <w:iCs/>
          <w:sz w:val="32"/>
          <w:szCs w:val="32"/>
        </w:rPr>
        <w:t>Scientific Data</w:t>
      </w:r>
      <w:r w:rsidRPr="00E038FB">
        <w:rPr>
          <w:rFonts w:ascii="TH SarabunPSK" w:hAnsi="TH SarabunPSK" w:cs="TH SarabunPSK" w:hint="cs"/>
          <w:sz w:val="32"/>
          <w:szCs w:val="32"/>
        </w:rPr>
        <w:t xml:space="preserve"> 8 (1): 229. </w:t>
      </w:r>
      <w:hyperlink r:id="rId10">
        <w:r w:rsidRPr="00E038FB">
          <w:rPr>
            <w:rStyle w:val="Hyperlink"/>
            <w:rFonts w:ascii="TH SarabunPSK" w:hAnsi="TH SarabunPSK" w:cs="TH SarabunPSK" w:hint="cs"/>
            <w:sz w:val="32"/>
            <w:szCs w:val="32"/>
          </w:rPr>
          <w:t>https://doi.org/10.1038/s41597-021-01010-w</w:t>
        </w:r>
      </w:hyperlink>
      <w:r w:rsidRPr="00E038FB">
        <w:rPr>
          <w:rFonts w:ascii="TH SarabunPSK" w:hAnsi="TH SarabunPSK" w:cs="TH SarabunPSK" w:hint="cs"/>
          <w:sz w:val="32"/>
          <w:szCs w:val="32"/>
        </w:rPr>
        <w:t>.</w:t>
      </w:r>
    </w:p>
    <w:bookmarkEnd w:id="1"/>
    <w:bookmarkEnd w:id="7"/>
    <w:p w14:paraId="6CDE1B35" w14:textId="77777777" w:rsidR="00302301" w:rsidRPr="00E038FB" w:rsidRDefault="00302301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302301" w:rsidRPr="00E0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01"/>
    <w:rsid w:val="000E5172"/>
    <w:rsid w:val="001D2199"/>
    <w:rsid w:val="00302301"/>
    <w:rsid w:val="00B94332"/>
    <w:rsid w:val="00E0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CD4B"/>
  <w15:chartTrackingRefBased/>
  <w15:docId w15:val="{78F4A8A1-FC98-4AD0-BF76-88373D8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0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0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30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23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23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301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qFormat/>
    <w:rsid w:val="00302301"/>
    <w:pPr>
      <w:spacing w:after="200" w:line="240" w:lineRule="auto"/>
    </w:pPr>
    <w:rPr>
      <w:kern w:val="0"/>
      <w:szCs w:val="24"/>
      <w:lang w:bidi="ar-SA"/>
      <w14:ligatures w14:val="none"/>
    </w:rPr>
  </w:style>
  <w:style w:type="character" w:styleId="Hyperlink">
    <w:name w:val="Hyperlink"/>
    <w:basedOn w:val="DefaultParagraphFont"/>
    <w:rsid w:val="00302301"/>
    <w:rPr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cs.2021.1029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therbio.2023.1035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3017-024-00606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07/s00484-011-0453-2" TargetMode="External"/><Relationship Id="rId10" Type="http://schemas.openxmlformats.org/officeDocument/2006/relationships/hyperlink" Target="https://doi.org/10.1038/s41597-021-01010-w" TargetMode="External"/><Relationship Id="rId4" Type="http://schemas.openxmlformats.org/officeDocument/2006/relationships/hyperlink" Target="https://doi.org/10.1016/j.ufug.2015.07.008" TargetMode="External"/><Relationship Id="rId9" Type="http://schemas.openxmlformats.org/officeDocument/2006/relationships/hyperlink" Target="https://doi.org/10.1016/j.buildenv.2023.110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sanwit iabchoon</dc:creator>
  <cp:keywords/>
  <dc:description/>
  <cp:lastModifiedBy>sanwit iabchoon</cp:lastModifiedBy>
  <cp:revision>1</cp:revision>
  <dcterms:created xsi:type="dcterms:W3CDTF">2025-09-03T06:31:00Z</dcterms:created>
  <dcterms:modified xsi:type="dcterms:W3CDTF">2025-09-03T06:45:00Z</dcterms:modified>
</cp:coreProperties>
</file>