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1ACCC" w14:textId="77777777" w:rsidR="00F45B51" w:rsidRDefault="00F45B51" w:rsidP="00F45B51">
      <w:pPr>
        <w:jc w:val="center"/>
        <w:rPr>
          <w:rFonts w:ascii="Cambria" w:eastAsia="Cambria" w:hAnsi="Cambria" w:cs="Cambria"/>
          <w:b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color w:val="000000"/>
          <w:sz w:val="32"/>
          <w:szCs w:val="32"/>
        </w:rPr>
        <w:t>Report</w:t>
      </w:r>
    </w:p>
    <w:p w14:paraId="6E4EC8D0" w14:textId="77777777" w:rsidR="00F45B51" w:rsidRDefault="00F45B51" w:rsidP="00F45B5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45B51" w14:paraId="19DEBEE8" w14:textId="77777777" w:rsidTr="00230966">
        <w:trPr>
          <w:jc w:val="center"/>
        </w:trPr>
        <w:tc>
          <w:tcPr>
            <w:tcW w:w="4508" w:type="dxa"/>
          </w:tcPr>
          <w:p w14:paraId="5F7ACCAF" w14:textId="77777777" w:rsidR="00F45B51" w:rsidRDefault="00F45B51" w:rsidP="002309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50B3436" w14:textId="3F9EAFAF" w:rsidR="00F45B51" w:rsidRDefault="00F45B51" w:rsidP="002309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17 December 2025</w:t>
            </w:r>
          </w:p>
        </w:tc>
      </w:tr>
      <w:tr w:rsidR="00F45B51" w14:paraId="78FF81D9" w14:textId="77777777" w:rsidTr="00230966">
        <w:trPr>
          <w:jc w:val="center"/>
        </w:trPr>
        <w:tc>
          <w:tcPr>
            <w:tcW w:w="4508" w:type="dxa"/>
          </w:tcPr>
          <w:p w14:paraId="114E821B" w14:textId="77777777" w:rsidR="00F45B51" w:rsidRDefault="00F45B51" w:rsidP="002309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BE205A7" w14:textId="77777777" w:rsidR="00F45B51" w:rsidRDefault="00F45B51" w:rsidP="002309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PNT2022TMIDxxxxxx</w:t>
            </w:r>
          </w:p>
        </w:tc>
      </w:tr>
      <w:tr w:rsidR="00F45B51" w14:paraId="2A6DC1FF" w14:textId="77777777" w:rsidTr="00230966">
        <w:trPr>
          <w:jc w:val="center"/>
        </w:trPr>
        <w:tc>
          <w:tcPr>
            <w:tcW w:w="4508" w:type="dxa"/>
          </w:tcPr>
          <w:p w14:paraId="7D256C25" w14:textId="77777777" w:rsidR="00F45B51" w:rsidRDefault="00F45B51" w:rsidP="002309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FB2D3A2" w14:textId="77777777" w:rsidR="00F45B51" w:rsidRDefault="00F45B51" w:rsidP="002309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Title</w:t>
            </w:r>
          </w:p>
        </w:tc>
      </w:tr>
      <w:tr w:rsidR="00F45B51" w14:paraId="568F9AA5" w14:textId="77777777" w:rsidTr="00230966">
        <w:trPr>
          <w:jc w:val="center"/>
        </w:trPr>
        <w:tc>
          <w:tcPr>
            <w:tcW w:w="4508" w:type="dxa"/>
          </w:tcPr>
          <w:p w14:paraId="4FB82CCD" w14:textId="77777777" w:rsidR="00F45B51" w:rsidRDefault="00F45B51" w:rsidP="002309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79B9427" w14:textId="77777777" w:rsidR="00F45B51" w:rsidRDefault="00F45B51" w:rsidP="002309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5E2C9D28" w14:textId="77777777" w:rsidR="00F45B51" w:rsidRDefault="00F45B51" w:rsidP="00F45B51">
      <w:p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</w:p>
    <w:p w14:paraId="2F06B891" w14:textId="77777777" w:rsidR="00F45B51" w:rsidRDefault="00F45B51">
      <w:pPr>
        <w:pStyle w:val="Heading2"/>
      </w:pPr>
    </w:p>
    <w:p w14:paraId="1DA635C5" w14:textId="54F751B7" w:rsidR="00C154DF" w:rsidRDefault="00000000">
      <w:pPr>
        <w:pStyle w:val="Heading2"/>
      </w:pPr>
      <w:r>
        <w:t>Introduction</w:t>
      </w:r>
    </w:p>
    <w:p w14:paraId="454AF721" w14:textId="77777777" w:rsidR="00F6249C" w:rsidRDefault="00000000">
      <w:pPr>
        <w:rPr>
          <w:noProof/>
        </w:rPr>
      </w:pPr>
      <w:r>
        <w:t>This report presents an analytical overview of child malnutrition indicators using global datasets. Visual charts are included to enhance interpretation and support data-driven insights.</w:t>
      </w:r>
      <w:r w:rsidR="00F6249C" w:rsidRPr="00F6249C">
        <w:t xml:space="preserve"> </w:t>
      </w:r>
      <w:r w:rsidR="00F6249C">
        <w:rPr>
          <w:noProof/>
        </w:rPr>
        <mc:AlternateContent>
          <mc:Choice Requires="wps">
            <w:drawing>
              <wp:inline distT="0" distB="0" distL="0" distR="0" wp14:anchorId="2EAED041" wp14:editId="4FDFBF8E">
                <wp:extent cx="304800" cy="304800"/>
                <wp:effectExtent l="0" t="0" r="0" b="0"/>
                <wp:docPr id="535937226" name="Rectangle 2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132B2A" id="Rectangle 2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F6249C">
        <w:rPr>
          <w:noProof/>
        </w:rPr>
        <mc:AlternateContent>
          <mc:Choice Requires="wps">
            <w:drawing>
              <wp:inline distT="0" distB="0" distL="0" distR="0" wp14:anchorId="5F570347" wp14:editId="7E160FB3">
                <wp:extent cx="304800" cy="304800"/>
                <wp:effectExtent l="0" t="0" r="0" b="0"/>
                <wp:docPr id="1753696489" name="Rectangle 3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B7C1BD" id="Rectangle 3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C698942" w14:textId="68923583" w:rsidR="00C154DF" w:rsidRDefault="006B3C49">
      <w:r>
        <w:rPr>
          <w:noProof/>
        </w:rPr>
        <w:drawing>
          <wp:inline distT="0" distB="0" distL="0" distR="0" wp14:anchorId="7BD0A2A0" wp14:editId="1CCFBCFF">
            <wp:extent cx="5486400" cy="3657600"/>
            <wp:effectExtent l="0" t="0" r="0" b="0"/>
            <wp:docPr id="10286495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249C">
        <w:t xml:space="preserve"> </w:t>
      </w:r>
    </w:p>
    <w:p w14:paraId="049848EA" w14:textId="77777777" w:rsidR="00F6249C" w:rsidRDefault="00F6249C"/>
    <w:p w14:paraId="47C34F6A" w14:textId="77777777" w:rsidR="00C154DF" w:rsidRDefault="00000000">
      <w:pPr>
        <w:pStyle w:val="Heading2"/>
      </w:pPr>
      <w:r>
        <w:lastRenderedPageBreak/>
        <w:t>Visual Analysis and Observations</w:t>
      </w:r>
    </w:p>
    <w:p w14:paraId="2ACA7651" w14:textId="77777777" w:rsidR="00C154DF" w:rsidRDefault="00000000">
      <w:r>
        <w:t>Figure 1 illustrates the top 10 countries with the highest stunting prevalence, indicating severe chronic malnutrition predominantly in low-income regions.</w:t>
      </w:r>
    </w:p>
    <w:p w14:paraId="3429CEFA" w14:textId="77777777" w:rsidR="00C154DF" w:rsidRDefault="00000000">
      <w:r>
        <w:rPr>
          <w:noProof/>
        </w:rPr>
        <w:drawing>
          <wp:inline distT="0" distB="0" distL="0" distR="0" wp14:anchorId="4FD7064D" wp14:editId="0719988F">
            <wp:extent cx="4572000" cy="3307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nting_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0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1331" w14:textId="5D4F3FA4" w:rsidR="00C154DF" w:rsidRDefault="00000000">
      <w:r>
        <w:t>Figure 2 compares average wasting and overweight percentages, highlighting the double burden of malnutrition where undernutrition and overnutrition coexist.</w:t>
      </w:r>
      <w:r>
        <w:rPr>
          <w:noProof/>
        </w:rPr>
        <w:drawing>
          <wp:inline distT="0" distB="0" distL="0" distR="0" wp14:anchorId="7BFE5E97" wp14:editId="687FD358">
            <wp:extent cx="4572000" cy="35899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sting_overweight_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8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09A5" w14:textId="77777777" w:rsidR="002450FA" w:rsidRDefault="002450FA" w:rsidP="002450FA">
      <w:pPr>
        <w:pStyle w:val="Heading2"/>
      </w:pPr>
      <w:r>
        <w:lastRenderedPageBreak/>
        <w:t>Extended Visual Analysis and Observations</w:t>
      </w:r>
    </w:p>
    <w:p w14:paraId="76D3708B" w14:textId="77777777" w:rsidR="006B3C49" w:rsidRDefault="002450FA" w:rsidP="002450FA">
      <w:pPr>
        <w:rPr>
          <w:noProof/>
        </w:rPr>
      </w:pPr>
      <w:r>
        <w:t>Figure 3 shows the relationship between income classification and average stunting levels. Lower-income groups record significantly higher stunting rates, reinforcing the economic influence on nutrition.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EA8D1E9" wp14:editId="5ADD6FBF">
            <wp:extent cx="4174988" cy="3156857"/>
            <wp:effectExtent l="0" t="0" r="0" b="5715"/>
            <wp:docPr id="1109735906" name="Picture 1109735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come_vs_stunt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8463" cy="316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A767" w14:textId="61042384" w:rsidR="002450FA" w:rsidRDefault="002450FA" w:rsidP="002450FA">
      <w:r>
        <w:t>Figure 4 represents the distribution between underweight and wasting indicators. A positive association suggests overlapping forms of acute and chronic undernutrition in seve</w:t>
      </w:r>
      <w:r>
        <w:rPr>
          <w:noProof/>
        </w:rPr>
        <w:drawing>
          <wp:inline distT="0" distB="0" distL="0" distR="0" wp14:anchorId="4EF022E3" wp14:editId="6D774291">
            <wp:extent cx="4572000" cy="3701530"/>
            <wp:effectExtent l="0" t="0" r="0" b="0"/>
            <wp:docPr id="1192721603" name="Picture 1192721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derweight_vs_wast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0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ral countries.</w:t>
      </w:r>
    </w:p>
    <w:p w14:paraId="535B6FF3" w14:textId="77777777" w:rsidR="002450FA" w:rsidRDefault="002450FA" w:rsidP="002450FA"/>
    <w:p w14:paraId="1E1D68F9" w14:textId="64BD1947" w:rsidR="002450FA" w:rsidRDefault="002450FA" w:rsidP="002450FA">
      <w:r>
        <w:t>Figure 5 highlights the top 10 countries by under-five population size. Countries with larger child populations require prioritized nutritional interventions due to scale of impact.</w:t>
      </w:r>
      <w:r>
        <w:rPr>
          <w:noProof/>
        </w:rPr>
        <w:drawing>
          <wp:inline distT="0" distB="0" distL="0" distR="0" wp14:anchorId="5FE3AFC3" wp14:editId="3CDAABD3">
            <wp:extent cx="4572000" cy="27157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5_popu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42AC" w14:textId="30BB57A0" w:rsidR="00C154DF" w:rsidRDefault="00000000">
      <w:pPr>
        <w:pStyle w:val="Heading2"/>
      </w:pPr>
      <w:r>
        <w:t>Conclusion</w:t>
      </w:r>
    </w:p>
    <w:p w14:paraId="392EB4B3" w14:textId="77777777" w:rsidR="00C154DF" w:rsidRDefault="00000000">
      <w:r>
        <w:t>The inclusion of visual charts strengthens the analytical depth of the report. Stunting remains a critical concern in several countries, while rising overweight levels indicate emerging nutritional transitions.</w:t>
      </w:r>
    </w:p>
    <w:sectPr w:rsidR="00C154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6641573">
    <w:abstractNumId w:val="8"/>
  </w:num>
  <w:num w:numId="2" w16cid:durableId="775557139">
    <w:abstractNumId w:val="6"/>
  </w:num>
  <w:num w:numId="3" w16cid:durableId="155263588">
    <w:abstractNumId w:val="5"/>
  </w:num>
  <w:num w:numId="4" w16cid:durableId="347023273">
    <w:abstractNumId w:val="4"/>
  </w:num>
  <w:num w:numId="5" w16cid:durableId="1661496067">
    <w:abstractNumId w:val="7"/>
  </w:num>
  <w:num w:numId="6" w16cid:durableId="232274771">
    <w:abstractNumId w:val="3"/>
  </w:num>
  <w:num w:numId="7" w16cid:durableId="952437815">
    <w:abstractNumId w:val="2"/>
  </w:num>
  <w:num w:numId="8" w16cid:durableId="636297381">
    <w:abstractNumId w:val="1"/>
  </w:num>
  <w:num w:numId="9" w16cid:durableId="938374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135"/>
    <w:rsid w:val="0015074B"/>
    <w:rsid w:val="002450FA"/>
    <w:rsid w:val="0029639D"/>
    <w:rsid w:val="00326F90"/>
    <w:rsid w:val="006B3C49"/>
    <w:rsid w:val="00AA1D8D"/>
    <w:rsid w:val="00B47730"/>
    <w:rsid w:val="00C154DF"/>
    <w:rsid w:val="00CB0664"/>
    <w:rsid w:val="00F45B51"/>
    <w:rsid w:val="00F6249C"/>
    <w:rsid w:val="00F704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7323A9"/>
  <w14:defaultImageDpi w14:val="300"/>
  <w15:docId w15:val="{C842EC21-90F4-4BE1-BF02-327BA6B48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624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24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ASISH KUNUKU</cp:lastModifiedBy>
  <cp:revision>4</cp:revision>
  <dcterms:created xsi:type="dcterms:W3CDTF">2025-12-15T12:08:00Z</dcterms:created>
  <dcterms:modified xsi:type="dcterms:W3CDTF">2025-12-15T12:34:00Z</dcterms:modified>
  <cp:category/>
</cp:coreProperties>
</file>