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lang/>
        </w:rPr>
      </w:pPr>
      <w:r>
        <w:rPr>
          <w:rFonts w:hint="default" w:ascii="Arial" w:hAnsi="Arial" w:cs="Arial"/>
        </w:rPr>
        <w:t>Arial                        &gt;</w:t>
      </w:r>
      <w:r>
        <w:rPr>
          <w:rFonts w:hint="default" w:ascii="Palatino Linotype" w:hAnsi="Palatino Linotype" w:cs="Palatino Linotype"/>
        </w:rPr>
        <w:t xml:space="preserve"> </w:t>
      </w:r>
      <w:r>
        <w:rPr>
          <w:rFonts w:hint="default" w:ascii="Liberation Sans" w:hAnsi="Liberation Sans" w:cs="Liberation Sans"/>
        </w:rPr>
        <w:t>Liberation Sans</w:t>
      </w:r>
      <w:r>
        <w:rPr>
          <w:rFonts w:hint="default" w:ascii="Palatino Linotype" w:hAnsi="Palatino Linotype" w:cs="Palatino Linotype"/>
        </w:rPr>
        <w:t xml:space="preserve"> &gt; </w:t>
      </w:r>
      <w:r>
        <w:rPr>
          <w:rFonts w:hint="default" w:ascii="IBM Plex Sans" w:hAnsi="IBM Plex Sans" w:cs="IBM Plex Sans"/>
          <w:lang/>
        </w:rPr>
        <w:t>IBM plex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/>
        </w:rPr>
      </w:pPr>
      <w:r>
        <w:t>Times New Roman</w:t>
      </w:r>
      <w:r>
        <w:rPr>
          <w:rFonts w:hint="default"/>
        </w:rPr>
        <w:t xml:space="preserve">   &gt;</w:t>
      </w:r>
      <w:r>
        <w:t xml:space="preserve"> </w:t>
      </w:r>
      <w:r>
        <w:rPr>
          <w:rFonts w:hint="default" w:ascii="Liberation Serif" w:hAnsi="Liberation Serif" w:cs="Liberation Serif"/>
        </w:rPr>
        <w:t xml:space="preserve">Liberation Serif &gt; </w:t>
      </w:r>
      <w:r>
        <w:rPr>
          <w:rFonts w:hint="default" w:ascii="Nimbus Roman" w:hAnsi="Nimbus Roman" w:cs="Nimbus Roman"/>
        </w:rPr>
        <w:t>Nimbus Roman</w:t>
      </w:r>
      <w:r>
        <w:rPr>
          <w:rFonts w:hint="default" w:ascii="Nimbus Roman" w:hAnsi="Nimbus Roman" w:cs="Nimbus Roman"/>
          <w:lang/>
        </w:rPr>
        <w:t xml:space="preserve"> &gt; </w:t>
      </w:r>
      <w:r>
        <w:rPr>
          <w:rFonts w:hint="default" w:ascii="IBM Plex Serif" w:hAnsi="IBM Plex Serif" w:cs="IBM Plex Serif"/>
          <w:lang/>
        </w:rPr>
        <w:t>IBM plex serif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/>
        </w:rPr>
      </w:pPr>
      <w:r>
        <w:rPr>
          <w:rFonts w:hint="default" w:ascii="Courier New" w:hAnsi="Courier New" w:cs="Courier New"/>
        </w:rPr>
        <w:t>Courier New   &gt;</w:t>
      </w:r>
      <w:r>
        <w:t xml:space="preserve"> </w:t>
      </w:r>
      <w:r>
        <w:rPr>
          <w:rFonts w:hint="default" w:ascii="FreeMono" w:hAnsi="FreeMono" w:cs="FreeMono"/>
        </w:rPr>
        <w:t>FreeMono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Theme="minorAscii" w:hAnsiTheme="minorAscii"/>
        </w:rPr>
        <w:t xml:space="preserve">Calibri                          </w:t>
      </w:r>
      <w:r>
        <w:rPr>
          <w:rFonts w:hint="default"/>
        </w:rPr>
        <w:t xml:space="preserve">&gt; </w:t>
      </w:r>
      <w:r>
        <w:rPr>
          <w:rFonts w:hint="default" w:ascii="Carlito" w:hAnsi="Carlito" w:cs="Carlito"/>
        </w:rPr>
        <w:t xml:space="preserve">Carlito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  <w:r>
        <w:rPr>
          <w:rFonts w:hint="default" w:ascii="Cambria" w:hAnsi="Cambria" w:cs="Cambria"/>
        </w:rPr>
        <w:t xml:space="preserve">Cambria                     </w:t>
      </w:r>
      <w:r>
        <w:rPr>
          <w:rFonts w:hint="default"/>
        </w:rPr>
        <w:t xml:space="preserve">&gt; </w:t>
      </w:r>
      <w:r>
        <w:rPr>
          <w:rFonts w:hint="default" w:ascii="Caladea" w:hAnsi="Caladea" w:cs="Caladea"/>
        </w:rPr>
        <w:t>Caladea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Comic Sans MS" w:hAnsi="Comic Sans MS" w:cs="Comic Sans MS"/>
        </w:rPr>
        <w:t>Comic Sans MS</w:t>
      </w:r>
      <w:r>
        <w:rPr>
          <w:rFonts w:hint="default"/>
          <w:lang/>
        </w:rPr>
        <w:t xml:space="preserve">     &gt; </w:t>
      </w:r>
      <w:r>
        <w:t xml:space="preserve">Comic Neue </w:t>
      </w:r>
      <w:r>
        <w:rPr>
          <w:rFonts w:hint="default"/>
          <w:lang/>
        </w:rPr>
        <w:t>&gt;</w:t>
      </w:r>
      <w:r>
        <w:t xml:space="preserve"> **Potta One**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rPr>
          <w:rFonts w:hint="default" w:ascii="Palladio Uralic" w:hAnsi="Palladio Uralic" w:cs="Palladio Uralic"/>
        </w:rPr>
      </w:pPr>
      <w:r>
        <w:rPr>
          <w:rFonts w:hint="default" w:ascii="Palatino Linotype" w:hAnsi="Palatino Linotype" w:cs="Palatino Linotype"/>
        </w:rPr>
        <w:t xml:space="preserve">Palatino Linotype        &gt; </w:t>
      </w:r>
      <w:r>
        <w:rPr>
          <w:rFonts w:hint="default" w:ascii="TeXGyrePagella" w:hAnsi="TeXGyrePagella" w:cs="TeXGyrePagella"/>
        </w:rPr>
        <w:t xml:space="preserve">TeXGyrePagella &gt; </w:t>
      </w:r>
      <w:r>
        <w:rPr>
          <w:rFonts w:hint="default" w:ascii="Palladio Uralic" w:hAnsi="Palladio Uralic" w:cs="Palladio Uralic"/>
        </w:rPr>
        <w:t>Pallatio Uralic</w:t>
      </w:r>
    </w:p>
    <w:p>
      <w:pPr>
        <w:rPr>
          <w:rFonts w:hint="default" w:ascii="Palladio Uralic" w:hAnsi="Palladio Uralic" w:cs="Palladio Uralic"/>
        </w:rPr>
      </w:pPr>
      <w:bookmarkStart w:id="0" w:name="_GoBack"/>
      <w:bookmarkEnd w:id="0"/>
    </w:p>
    <w:p>
      <w:pPr>
        <w:rPr>
          <w:rFonts w:hint="default" w:ascii="Noto Mono" w:hAnsi="Noto Mono" w:cs="Noto Mono"/>
        </w:rPr>
      </w:pPr>
    </w:p>
    <w:p>
      <w:pPr>
        <w:rPr>
          <w:rFonts w:hint="default" w:ascii="Courier New" w:hAnsi="Courier New" w:cs="Courier New"/>
          <w:b w:val="0"/>
          <w:bCs w:val="0"/>
        </w:rPr>
      </w:pPr>
      <w:r>
        <w:rPr>
          <w:rFonts w:hint="default" w:ascii="Courier New" w:hAnsi="Courier New" w:cs="Courier New"/>
          <w:b w:val="0"/>
          <w:bCs w:val="0"/>
        </w:rPr>
        <w:t>Courier New</w:t>
      </w: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Noto Mono" w:hAnsi="Noto Mono" w:cs="Noto Mono"/>
        </w:rPr>
      </w:pPr>
      <w:r>
        <w:rPr>
          <w:rFonts w:hint="default" w:ascii="Noto Mono" w:hAnsi="Noto Mono" w:cs="Noto Mono"/>
        </w:rPr>
        <w:t>NotoMono</w:t>
      </w: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</w:rPr>
      </w:pPr>
      <w:r>
        <w:rPr>
          <w:rFonts w:hint="default" w:ascii="URW Gothic" w:hAnsi="URW Gothic" w:cs="URW Gothic"/>
        </w:rPr>
        <w:t>URW Gothic</w:t>
      </w: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  <w:b/>
          <w:bCs/>
        </w:rPr>
      </w:pPr>
      <w:r>
        <w:rPr>
          <w:rFonts w:hint="default" w:ascii="URW Gothic" w:hAnsi="URW Gothic" w:cs="URW Gothic"/>
          <w:b/>
          <w:bCs/>
        </w:rPr>
        <w:t>Century Gothic</w:t>
      </w:r>
    </w:p>
    <w:p>
      <w:pPr>
        <w:rPr>
          <w:rFonts w:hint="default" w:ascii="URW Gothic" w:hAnsi="URW Gothic" w:cs="URW Gothi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TeXGyreScho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IBM Plex Sans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IBM Plex Serif">
    <w:panose1 w:val="02060503050406000203"/>
    <w:charset w:val="00"/>
    <w:family w:val="auto"/>
    <w:pitch w:val="default"/>
    <w:sig w:usb0="A000026F" w:usb1="5000203B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2B9D1F5D"/>
    <w:rsid w:val="2F5F5B27"/>
    <w:rsid w:val="3EDD4F5B"/>
    <w:rsid w:val="3FFD6A83"/>
    <w:rsid w:val="5DFEBD65"/>
    <w:rsid w:val="5E3BC1FC"/>
    <w:rsid w:val="6687716D"/>
    <w:rsid w:val="74FA8B79"/>
    <w:rsid w:val="7AFB2018"/>
    <w:rsid w:val="7CCBA68D"/>
    <w:rsid w:val="7FB516BA"/>
    <w:rsid w:val="7FF688FB"/>
    <w:rsid w:val="7FF70E0E"/>
    <w:rsid w:val="D5DFF2DC"/>
    <w:rsid w:val="FF3FC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33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2025-02-20T00:06:00Z</dcterms:created>
  <dc:creator>wachin</dc:creator>
  <cp:lastModifiedBy>wachin</cp:lastModifiedBy>
  <dcterms:modified xsi:type="dcterms:W3CDTF">2025-02-20T15:25:59Z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