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b/>
          <w:color w:val="163B5C"/>
          <w:sz w:val="60"/>
        </w:rPr>
        <w:t>CENTRALIZED SALES AI</w:t>
        <w:br/>
        <w:t>AGENT PLATFORM</w:t>
      </w:r>
    </w:p>
    <w:p>
      <w:pPr>
        <w:jc w:val="center"/>
      </w:pPr>
      <w:r>
        <w:rPr>
          <w:b/>
          <w:color w:val="2F6690"/>
          <w:sz w:val="36"/>
        </w:rPr>
        <w:t>Unified Research, Architecture &amp; Technical Design</w:t>
      </w:r>
    </w:p>
    <w:p>
      <w:pPr>
        <w:jc w:val="center"/>
      </w:pPr>
      <w:r>
        <w:rPr>
          <w:sz w:val="24"/>
        </w:rPr>
        <w:t>Integrated design for six connected AI sales agents</w:t>
      </w:r>
    </w:p>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163B5C"/>
          </w:tcPr>
          <w:p>
            <w:pPr>
              <w:spacing w:after="20"/>
            </w:pPr>
            <w:r>
              <w:rPr>
                <w:rFonts w:ascii="Aptos" w:hAnsi="Aptos"/>
                <w:b/>
                <w:color w:val="FFFFFF"/>
                <w:sz w:val="18"/>
              </w:rPr>
              <w:t>Platform scope</w:t>
            </w:r>
          </w:p>
        </w:tc>
        <w:tc>
          <w:tcPr>
            <w:tcW w:type="dxa" w:w="6336"/>
            <w:vAlign w:val="center"/>
            <w:shd w:fill="163B5C"/>
          </w:tcPr>
          <w:p>
            <w:pPr>
              <w:spacing w:after="20"/>
            </w:pPr>
            <w:r>
              <w:rPr>
                <w:rFonts w:ascii="Aptos" w:hAnsi="Aptos"/>
                <w:b/>
                <w:color w:val="FFFFFF"/>
                <w:sz w:val="18"/>
              </w:rPr>
              <w:t>Specialized agents</w:t>
            </w:r>
          </w:p>
        </w:tc>
      </w:tr>
      <w:tr>
        <w:tc>
          <w:tcPr>
            <w:tcW w:type="dxa" w:w="3600"/>
            <w:vAlign w:val="center"/>
          </w:tcPr>
          <w:p>
            <w:pPr>
              <w:spacing w:after="20"/>
            </w:pPr>
            <w:r>
              <w:rPr>
                <w:rFonts w:ascii="Aptos" w:hAnsi="Aptos"/>
                <w:sz w:val="18"/>
              </w:rPr>
              <w:t>Shared intelligence</w:t>
            </w:r>
          </w:p>
        </w:tc>
        <w:tc>
          <w:tcPr>
            <w:tcW w:type="dxa" w:w="6336"/>
            <w:vAlign w:val="center"/>
          </w:tcPr>
          <w:p>
            <w:pPr>
              <w:spacing w:after="20"/>
            </w:pPr>
            <w:r>
              <w:rPr>
                <w:rFonts w:ascii="Aptos" w:hAnsi="Aptos"/>
                <w:sz w:val="18"/>
              </w:rPr>
              <w:t>Knowledge-Based Agent</w:t>
            </w:r>
          </w:p>
        </w:tc>
      </w:tr>
      <w:tr>
        <w:tc>
          <w:tcPr>
            <w:tcW w:type="dxa" w:w="3600"/>
            <w:vAlign w:val="center"/>
            <w:shd w:fill="F4F7F9"/>
          </w:tcPr>
          <w:p>
            <w:pPr>
              <w:spacing w:after="20"/>
            </w:pPr>
            <w:r>
              <w:rPr>
                <w:rFonts w:ascii="Aptos" w:hAnsi="Aptos"/>
                <w:sz w:val="18"/>
              </w:rPr>
              <w:t>Research &amp; qualification</w:t>
            </w:r>
          </w:p>
        </w:tc>
        <w:tc>
          <w:tcPr>
            <w:tcW w:type="dxa" w:w="6336"/>
            <w:vAlign w:val="center"/>
            <w:shd w:fill="F4F7F9"/>
          </w:tcPr>
          <w:p>
            <w:pPr>
              <w:spacing w:after="20"/>
            </w:pPr>
            <w:r>
              <w:rPr>
                <w:rFonts w:ascii="Aptos" w:hAnsi="Aptos"/>
                <w:sz w:val="18"/>
              </w:rPr>
              <w:t>Lead Research Agent</w:t>
            </w:r>
          </w:p>
        </w:tc>
      </w:tr>
      <w:tr>
        <w:tc>
          <w:tcPr>
            <w:tcW w:type="dxa" w:w="3600"/>
            <w:vAlign w:val="center"/>
          </w:tcPr>
          <w:p>
            <w:pPr>
              <w:spacing w:after="20"/>
            </w:pPr>
            <w:r>
              <w:rPr>
                <w:rFonts w:ascii="Aptos" w:hAnsi="Aptos"/>
                <w:sz w:val="18"/>
              </w:rPr>
              <w:t>Campaign creation</w:t>
            </w:r>
          </w:p>
        </w:tc>
        <w:tc>
          <w:tcPr>
            <w:tcW w:type="dxa" w:w="6336"/>
            <w:vAlign w:val="center"/>
          </w:tcPr>
          <w:p>
            <w:pPr>
              <w:spacing w:after="20"/>
            </w:pPr>
            <w:r>
              <w:rPr>
                <w:rFonts w:ascii="Aptos" w:hAnsi="Aptos"/>
                <w:sz w:val="18"/>
              </w:rPr>
              <w:t>Campaign Content Agent</w:t>
            </w:r>
          </w:p>
        </w:tc>
      </w:tr>
      <w:tr>
        <w:tc>
          <w:tcPr>
            <w:tcW w:type="dxa" w:w="3600"/>
            <w:vAlign w:val="center"/>
            <w:shd w:fill="F4F7F9"/>
          </w:tcPr>
          <w:p>
            <w:pPr>
              <w:spacing w:after="20"/>
            </w:pPr>
            <w:r>
              <w:rPr>
                <w:rFonts w:ascii="Aptos" w:hAnsi="Aptos"/>
                <w:sz w:val="18"/>
              </w:rPr>
              <w:t>Execution</w:t>
            </w:r>
          </w:p>
        </w:tc>
        <w:tc>
          <w:tcPr>
            <w:tcW w:type="dxa" w:w="6336"/>
            <w:vAlign w:val="center"/>
            <w:shd w:fill="F4F7F9"/>
          </w:tcPr>
          <w:p>
            <w:pPr>
              <w:spacing w:after="20"/>
            </w:pPr>
            <w:r>
              <w:rPr>
                <w:rFonts w:ascii="Aptos" w:hAnsi="Aptos"/>
                <w:sz w:val="18"/>
              </w:rPr>
              <w:t>Outreach Agent</w:t>
            </w:r>
          </w:p>
        </w:tc>
      </w:tr>
      <w:tr>
        <w:tc>
          <w:tcPr>
            <w:tcW w:type="dxa" w:w="3600"/>
            <w:vAlign w:val="center"/>
          </w:tcPr>
          <w:p>
            <w:pPr>
              <w:spacing w:after="20"/>
            </w:pPr>
            <w:r>
              <w:rPr>
                <w:rFonts w:ascii="Aptos" w:hAnsi="Aptos"/>
                <w:sz w:val="18"/>
              </w:rPr>
              <w:t>Conversation intelligence</w:t>
            </w:r>
          </w:p>
        </w:tc>
        <w:tc>
          <w:tcPr>
            <w:tcW w:type="dxa" w:w="6336"/>
            <w:vAlign w:val="center"/>
          </w:tcPr>
          <w:p>
            <w:pPr>
              <w:spacing w:after="20"/>
            </w:pPr>
            <w:r>
              <w:rPr>
                <w:rFonts w:ascii="Aptos" w:hAnsi="Aptos"/>
                <w:sz w:val="18"/>
              </w:rPr>
              <w:t>Inbox / Reply Intelligence Agent</w:t>
            </w:r>
          </w:p>
        </w:tc>
      </w:tr>
      <w:tr>
        <w:tc>
          <w:tcPr>
            <w:tcW w:type="dxa" w:w="3600"/>
            <w:vAlign w:val="center"/>
            <w:shd w:fill="F4F7F9"/>
          </w:tcPr>
          <w:p>
            <w:pPr>
              <w:spacing w:after="20"/>
            </w:pPr>
            <w:r>
              <w:rPr>
                <w:rFonts w:ascii="Aptos" w:hAnsi="Aptos"/>
                <w:sz w:val="18"/>
              </w:rPr>
              <w:t>Decision layer</w:t>
            </w:r>
          </w:p>
        </w:tc>
        <w:tc>
          <w:tcPr>
            <w:tcW w:type="dxa" w:w="6336"/>
            <w:vAlign w:val="center"/>
            <w:shd w:fill="F4F7F9"/>
          </w:tcPr>
          <w:p>
            <w:pPr>
              <w:spacing w:after="20"/>
            </w:pPr>
            <w:r>
              <w:rPr>
                <w:rFonts w:ascii="Aptos" w:hAnsi="Aptos"/>
                <w:sz w:val="18"/>
              </w:rPr>
              <w:t>Lead Lifecycle / Next Action Agent</w:t>
            </w:r>
          </w:p>
        </w:tc>
      </w:tr>
    </w:tbl>
    <w:p>
      <w:pPr>
        <w:spacing w:after="0"/>
      </w:pPr>
    </w:p>
    <w:p/>
    <w:tbl>
      <w:tblPr>
        <w:tblStyle w:val="TableGrid"/>
        <w:tblW w:type="auto" w:w="0"/>
        <w:jc w:val="center"/>
        <w:tblLook w:firstColumn="1" w:firstRow="1" w:lastColumn="0" w:lastRow="0" w:noHBand="0" w:noVBand="1" w:val="04A0"/>
      </w:tblPr>
      <w:tblGrid>
        <w:gridCol w:w="10368"/>
      </w:tblGrid>
      <w:tr>
        <w:tc>
          <w:tcPr>
            <w:tcW w:type="dxa" w:w="10368"/>
            <w:shd w:fill="EAF2F8"/>
          </w:tcPr>
          <w:p>
            <w:r>
              <w:rPr>
                <w:b/>
                <w:color w:val="163B5C"/>
              </w:rPr>
              <w:t>Design objective</w:t>
            </w:r>
          </w:p>
          <w:p>
            <w:pPr>
              <w:spacing w:after="0"/>
            </w:pPr>
            <w:r>
              <w:t>Create one governed sales system where each specialist agent has a clear job, uses shared context, returns structured results, and never acts outside the permissions and approval rules of the platform.</w:t>
            </w:r>
          </w:p>
        </w:tc>
      </w:tr>
    </w:tbl>
    <w:p>
      <w:pPr>
        <w:spacing w:after="0"/>
      </w:pPr>
    </w:p>
    <w:p>
      <w:pPr>
        <w:jc w:val="center"/>
      </w:pPr>
      <w:r>
        <w:rPr>
          <w:color w:val="646464"/>
          <w:sz w:val="16"/>
        </w:rPr>
        <w:t>Prepared from the six supplied agent architecture and research documents. The report consolidates their common patterns into one platform design.</w:t>
      </w:r>
    </w:p>
    <w:p>
      <w:pPr>
        <w:pStyle w:val="Heading1"/>
        <w:pageBreakBefore/>
      </w:pPr>
      <w:r>
        <w:t>1. Executive Summary</w:t>
      </w:r>
    </w:p>
    <w:p>
      <w:pPr>
        <w:pStyle w:val="Small"/>
      </w:pPr>
      <w:r>
        <w:rPr>
          <w:i/>
        </w:rPr>
        <w:t>Why the six agents should be designed as one platform</w:t>
      </w:r>
    </w:p>
    <w:p>
      <w:r>
        <w:t>The supplied designs describe six specialist agents that solve different parts of the sales process. The common architectural pattern is a centralized orchestrator, a shared knowledge/context layer, persistent lead state, tool-based execution, event-driven updates, and human approval for risky actions.</w:t>
      </w:r>
    </w:p>
    <w:p>
      <w:pPr>
        <w:pStyle w:val="ListBullet"/>
        <w:spacing w:after="40"/>
        <w:ind w:left="259"/>
      </w:pPr>
      <w:r>
        <w:t>Lead Research finds and verifies useful person, company and buying-signal information before outreach.</w:t>
      </w:r>
    </w:p>
    <w:p>
      <w:pPr>
        <w:pStyle w:val="ListBullet"/>
        <w:spacing w:after="40"/>
        <w:ind w:left="259"/>
      </w:pPr>
      <w:r>
        <w:t>Campaign Content turns a structured brief into strategy, content, checks, approvals and performance learning.</w:t>
      </w:r>
    </w:p>
    <w:p>
      <w:pPr>
        <w:pStyle w:val="ListBullet"/>
        <w:spacing w:after="40"/>
        <w:ind w:left="259"/>
      </w:pPr>
      <w:r>
        <w:t>Outreach coordinates prospecting, qualification, personalization, execution, follow-up and CRM updates.</w:t>
      </w:r>
    </w:p>
    <w:p>
      <w:pPr>
        <w:pStyle w:val="ListBullet"/>
        <w:spacing w:after="40"/>
        <w:ind w:left="259"/>
      </w:pPr>
      <w:r>
        <w:t>Inbox / Reply Intelligence searches live mail, understands conversations, prioritizes replies and drafts responses.</w:t>
      </w:r>
    </w:p>
    <w:p>
      <w:pPr>
        <w:pStyle w:val="ListBullet"/>
        <w:spacing w:after="40"/>
        <w:ind w:left="259"/>
      </w:pPr>
      <w:r>
        <w:t>Lead Lifecycle / Next Action keeps one current stage per lead and chooses the next best action.</w:t>
      </w:r>
    </w:p>
    <w:p>
      <w:pPr>
        <w:pStyle w:val="ListBullet"/>
        <w:spacing w:after="40"/>
        <w:ind w:left="259"/>
      </w:pPr>
      <w:r>
        <w:t>Knowledge-Based Agent is the shared intelligence layer that retrieves evidence and assembles task-specific context for every other agent.</w:t>
      </w:r>
    </w:p>
    <w:p>
      <w:pPr>
        <w:pStyle w:val="Heading2"/>
      </w:pPr>
      <w:r>
        <w:t>The central idea</w:t>
      </w:r>
    </w:p>
    <w:p>
      <w:r>
        <w:t>The agents should not operate as six independent applications. They should work as specialist services around one sales state. The orchestrator routes work, the knowledge layer provides trusted context, the lifecycle agent decides what should happen next, action agents execute approved tasks, and every result becomes a new event.</w:t>
      </w:r>
    </w:p>
    <w:tbl>
      <w:tblPr>
        <w:tblStyle w:val="TableGrid"/>
        <w:tblW w:type="auto" w:w="0"/>
        <w:jc w:val="center"/>
        <w:tblLook w:firstColumn="1" w:firstRow="1" w:lastColumn="0" w:lastRow="0" w:noHBand="0" w:noVBand="1" w:val="04A0"/>
      </w:tblPr>
      <w:tblGrid>
        <w:gridCol w:w="10368"/>
      </w:tblGrid>
      <w:tr>
        <w:tc>
          <w:tcPr>
            <w:tcW w:type="dxa" w:w="10368"/>
            <w:shd w:fill="EAF2F8"/>
          </w:tcPr>
          <w:p>
            <w:r>
              <w:rPr>
                <w:b/>
                <w:color w:val="163B5C"/>
              </w:rPr>
              <w:t>Simple mental model</w:t>
            </w:r>
          </w:p>
          <w:p>
            <w:pPr>
              <w:spacing w:after="0"/>
            </w:pPr>
            <w:r>
              <w:t>KNOW → RESEARCH → QUALIFY → CREATE → ACT → UNDERSTAND REPLY → DECIDE NEXT → UPDATE KNOWLEDGE</w:t>
            </w:r>
          </w:p>
        </w:tc>
      </w:tr>
    </w:tbl>
    <w:p>
      <w:pPr>
        <w:spacing w:after="0"/>
      </w:pPr>
    </w:p>
    <w:p>
      <w:pPr>
        <w:pStyle w:val="Heading2"/>
      </w:pPr>
      <w:r>
        <w:t>Expected benefits</w:t>
      </w:r>
    </w:p>
    <w:tbl>
      <w:tblPr>
        <w:tblStyle w:val="TableGrid"/>
        <w:tblW w:type="auto" w:w="0"/>
        <w:jc w:val="center"/>
        <w:tblLook w:firstColumn="1" w:firstRow="1" w:lastColumn="0" w:lastRow="0" w:noHBand="0" w:noVBand="1" w:val="04A0"/>
      </w:tblPr>
      <w:tblGrid>
        <w:gridCol w:w="5184"/>
        <w:gridCol w:w="5184"/>
      </w:tblGrid>
      <w:tr>
        <w:tc>
          <w:tcPr>
            <w:tcW w:type="dxa" w:w="2232"/>
            <w:vAlign w:val="center"/>
            <w:shd w:fill="163B5C"/>
          </w:tcPr>
          <w:p>
            <w:pPr>
              <w:spacing w:after="20"/>
            </w:pPr>
            <w:r>
              <w:rPr>
                <w:rFonts w:ascii="Aptos" w:hAnsi="Aptos"/>
                <w:b/>
                <w:color w:val="FFFFFF"/>
                <w:sz w:val="16"/>
              </w:rPr>
              <w:t>Area</w:t>
            </w:r>
          </w:p>
        </w:tc>
        <w:tc>
          <w:tcPr>
            <w:tcW w:type="dxa" w:w="7704"/>
            <w:vAlign w:val="center"/>
            <w:shd w:fill="163B5C"/>
          </w:tcPr>
          <w:p>
            <w:pPr>
              <w:spacing w:after="20"/>
            </w:pPr>
            <w:r>
              <w:rPr>
                <w:rFonts w:ascii="Aptos" w:hAnsi="Aptos"/>
                <w:b/>
                <w:color w:val="FFFFFF"/>
                <w:sz w:val="16"/>
              </w:rPr>
              <w:t>Platform outcome</w:t>
            </w:r>
          </w:p>
        </w:tc>
      </w:tr>
      <w:tr>
        <w:tc>
          <w:tcPr>
            <w:tcW w:type="dxa" w:w="2232"/>
            <w:vAlign w:val="center"/>
          </w:tcPr>
          <w:p>
            <w:pPr>
              <w:spacing w:after="20"/>
            </w:pPr>
            <w:r>
              <w:rPr>
                <w:rFonts w:ascii="Aptos" w:hAnsi="Aptos"/>
                <w:sz w:val="16"/>
              </w:rPr>
              <w:t>Consistency</w:t>
            </w:r>
          </w:p>
        </w:tc>
        <w:tc>
          <w:tcPr>
            <w:tcW w:type="dxa" w:w="7704"/>
            <w:vAlign w:val="center"/>
          </w:tcPr>
          <w:p>
            <w:pPr>
              <w:spacing w:after="20"/>
            </w:pPr>
            <w:r>
              <w:rPr>
                <w:rFonts w:ascii="Aptos" w:hAnsi="Aptos"/>
                <w:sz w:val="16"/>
              </w:rPr>
              <w:t>All agents use the same lead, account, campaign and conversation context.</w:t>
            </w:r>
          </w:p>
        </w:tc>
      </w:tr>
      <w:tr>
        <w:tc>
          <w:tcPr>
            <w:tcW w:type="dxa" w:w="2232"/>
            <w:vAlign w:val="center"/>
            <w:shd w:fill="F4F7F9"/>
          </w:tcPr>
          <w:p>
            <w:pPr>
              <w:spacing w:after="20"/>
            </w:pPr>
            <w:r>
              <w:rPr>
                <w:rFonts w:ascii="Aptos" w:hAnsi="Aptos"/>
                <w:sz w:val="16"/>
              </w:rPr>
              <w:t>Quality</w:t>
            </w:r>
          </w:p>
        </w:tc>
        <w:tc>
          <w:tcPr>
            <w:tcW w:type="dxa" w:w="7704"/>
            <w:vAlign w:val="center"/>
            <w:shd w:fill="F4F7F9"/>
          </w:tcPr>
          <w:p>
            <w:pPr>
              <w:spacing w:after="20"/>
            </w:pPr>
            <w:r>
              <w:rPr>
                <w:rFonts w:ascii="Aptos" w:hAnsi="Aptos"/>
                <w:sz w:val="16"/>
              </w:rPr>
              <w:t>Important claims carry evidence, source and confidence.</w:t>
            </w:r>
          </w:p>
        </w:tc>
      </w:tr>
      <w:tr>
        <w:tc>
          <w:tcPr>
            <w:tcW w:type="dxa" w:w="2232"/>
            <w:vAlign w:val="center"/>
          </w:tcPr>
          <w:p>
            <w:pPr>
              <w:spacing w:after="20"/>
            </w:pPr>
            <w:r>
              <w:rPr>
                <w:rFonts w:ascii="Aptos" w:hAnsi="Aptos"/>
                <w:sz w:val="16"/>
              </w:rPr>
              <w:t>Automation</w:t>
            </w:r>
          </w:p>
        </w:tc>
        <w:tc>
          <w:tcPr>
            <w:tcW w:type="dxa" w:w="7704"/>
            <w:vAlign w:val="center"/>
          </w:tcPr>
          <w:p>
            <w:pPr>
              <w:spacing w:after="20"/>
            </w:pPr>
            <w:r>
              <w:rPr>
                <w:rFonts w:ascii="Aptos" w:hAnsi="Aptos"/>
                <w:sz w:val="16"/>
              </w:rPr>
              <w:t>Routine research, content, outreach and inbox work can run with fewer manual steps.</w:t>
            </w:r>
          </w:p>
        </w:tc>
      </w:tr>
      <w:tr>
        <w:tc>
          <w:tcPr>
            <w:tcW w:type="dxa" w:w="2232"/>
            <w:vAlign w:val="center"/>
            <w:shd w:fill="F4F7F9"/>
          </w:tcPr>
          <w:p>
            <w:pPr>
              <w:spacing w:after="20"/>
            </w:pPr>
            <w:r>
              <w:rPr>
                <w:rFonts w:ascii="Aptos" w:hAnsi="Aptos"/>
                <w:sz w:val="16"/>
              </w:rPr>
              <w:t>Control</w:t>
            </w:r>
          </w:p>
        </w:tc>
        <w:tc>
          <w:tcPr>
            <w:tcW w:type="dxa" w:w="7704"/>
            <w:vAlign w:val="center"/>
            <w:shd w:fill="F4F7F9"/>
          </w:tcPr>
          <w:p>
            <w:pPr>
              <w:spacing w:after="20"/>
            </w:pPr>
            <w:r>
              <w:rPr>
                <w:rFonts w:ascii="Aptos" w:hAnsi="Aptos"/>
                <w:sz w:val="16"/>
              </w:rPr>
              <w:t>Suppression, permissions, approval gates and audit logs are enforced centrally.</w:t>
            </w:r>
          </w:p>
        </w:tc>
      </w:tr>
      <w:tr>
        <w:tc>
          <w:tcPr>
            <w:tcW w:type="dxa" w:w="2232"/>
            <w:vAlign w:val="center"/>
          </w:tcPr>
          <w:p>
            <w:pPr>
              <w:spacing w:after="20"/>
            </w:pPr>
            <w:r>
              <w:rPr>
                <w:rFonts w:ascii="Aptos" w:hAnsi="Aptos"/>
                <w:sz w:val="16"/>
              </w:rPr>
              <w:t>Learning</w:t>
            </w:r>
          </w:p>
        </w:tc>
        <w:tc>
          <w:tcPr>
            <w:tcW w:type="dxa" w:w="7704"/>
            <w:vAlign w:val="center"/>
          </w:tcPr>
          <w:p>
            <w:pPr>
              <w:spacing w:after="20"/>
            </w:pPr>
            <w:r>
              <w:rPr>
                <w:rFonts w:ascii="Aptos" w:hAnsi="Aptos"/>
                <w:sz w:val="16"/>
              </w:rPr>
              <w:t>Sends, replies, meetings, corrections and outcomes update shared state and knowledge.</w:t>
            </w:r>
          </w:p>
        </w:tc>
      </w:tr>
    </w:tbl>
    <w:p>
      <w:pPr>
        <w:spacing w:after="0"/>
      </w:pPr>
    </w:p>
    <w:p>
      <w:pPr>
        <w:pStyle w:val="Heading1"/>
        <w:pageBreakBefore/>
      </w:pPr>
      <w:r>
        <w:t>2. Platform Scope and Agent Responsibilities</w:t>
      </w:r>
    </w:p>
    <w:p>
      <w:pPr>
        <w:pStyle w:val="Small"/>
      </w:pPr>
      <w:r>
        <w:rPr>
          <w:i/>
        </w:rPr>
        <w:t>Six agents, six clear responsibilities</w:t>
      </w:r>
    </w:p>
    <w:tbl>
      <w:tblPr>
        <w:tblStyle w:val="TableGrid"/>
        <w:tblW w:type="auto" w:w="0"/>
        <w:jc w:val="center"/>
        <w:tblLook w:firstColumn="1" w:firstRow="1" w:lastColumn="0" w:lastRow="0" w:noHBand="0" w:noVBand="1" w:val="04A0"/>
      </w:tblPr>
      <w:tblGrid>
        <w:gridCol w:w="3456"/>
        <w:gridCol w:w="3456"/>
        <w:gridCol w:w="3456"/>
      </w:tblGrid>
      <w:tr>
        <w:tc>
          <w:tcPr>
            <w:tcW w:type="dxa" w:w="1800"/>
            <w:vAlign w:val="center"/>
            <w:shd w:fill="163B5C"/>
          </w:tcPr>
          <w:p>
            <w:pPr>
              <w:spacing w:after="20"/>
            </w:pPr>
            <w:r>
              <w:rPr>
                <w:rFonts w:ascii="Aptos" w:hAnsi="Aptos"/>
                <w:b/>
                <w:color w:val="FFFFFF"/>
                <w:sz w:val="15"/>
              </w:rPr>
              <w:t>Agent</w:t>
            </w:r>
          </w:p>
        </w:tc>
        <w:tc>
          <w:tcPr>
            <w:tcW w:type="dxa" w:w="5472"/>
            <w:vAlign w:val="center"/>
            <w:shd w:fill="163B5C"/>
          </w:tcPr>
          <w:p>
            <w:pPr>
              <w:spacing w:after="20"/>
            </w:pPr>
            <w:r>
              <w:rPr>
                <w:rFonts w:ascii="Aptos" w:hAnsi="Aptos"/>
                <w:b/>
                <w:color w:val="FFFFFF"/>
                <w:sz w:val="15"/>
              </w:rPr>
              <w:t>Primary responsibility</w:t>
            </w:r>
          </w:p>
        </w:tc>
        <w:tc>
          <w:tcPr>
            <w:tcW w:type="dxa" w:w="2880"/>
            <w:vAlign w:val="center"/>
            <w:shd w:fill="163B5C"/>
          </w:tcPr>
          <w:p>
            <w:pPr>
              <w:spacing w:after="20"/>
            </w:pPr>
            <w:r>
              <w:rPr>
                <w:rFonts w:ascii="Aptos" w:hAnsi="Aptos"/>
                <w:b/>
                <w:color w:val="FFFFFF"/>
                <w:sz w:val="15"/>
              </w:rPr>
              <w:t>Main output</w:t>
            </w:r>
          </w:p>
        </w:tc>
      </w:tr>
      <w:tr>
        <w:tc>
          <w:tcPr>
            <w:tcW w:type="dxa" w:w="1800"/>
            <w:vAlign w:val="center"/>
          </w:tcPr>
          <w:p>
            <w:pPr>
              <w:spacing w:after="20"/>
            </w:pPr>
            <w:r>
              <w:rPr>
                <w:rFonts w:ascii="Aptos" w:hAnsi="Aptos"/>
                <w:sz w:val="15"/>
              </w:rPr>
              <w:t>Knowledge-Based</w:t>
            </w:r>
          </w:p>
        </w:tc>
        <w:tc>
          <w:tcPr>
            <w:tcW w:type="dxa" w:w="5472"/>
            <w:vAlign w:val="center"/>
          </w:tcPr>
          <w:p>
            <w:pPr>
              <w:spacing w:after="20"/>
            </w:pPr>
            <w:r>
              <w:rPr>
                <w:rFonts w:ascii="Aptos" w:hAnsi="Aptos"/>
                <w:sz w:val="15"/>
              </w:rPr>
              <w:t>Collect, normalize, store, retrieve and assemble trusted context.</w:t>
            </w:r>
          </w:p>
        </w:tc>
        <w:tc>
          <w:tcPr>
            <w:tcW w:type="dxa" w:w="2880"/>
            <w:vAlign w:val="center"/>
          </w:tcPr>
          <w:p>
            <w:pPr>
              <w:spacing w:after="20"/>
            </w:pPr>
            <w:r>
              <w:rPr>
                <w:rFonts w:ascii="Aptos" w:hAnsi="Aptos"/>
                <w:sz w:val="15"/>
              </w:rPr>
              <w:t>ContextPackage</w:t>
            </w:r>
          </w:p>
        </w:tc>
      </w:tr>
      <w:tr>
        <w:tc>
          <w:tcPr>
            <w:tcW w:type="dxa" w:w="1800"/>
            <w:vAlign w:val="center"/>
            <w:shd w:fill="F4F7F9"/>
          </w:tcPr>
          <w:p>
            <w:pPr>
              <w:spacing w:after="20"/>
            </w:pPr>
            <w:r>
              <w:rPr>
                <w:rFonts w:ascii="Aptos" w:hAnsi="Aptos"/>
                <w:sz w:val="15"/>
              </w:rPr>
              <w:t>Lead Research</w:t>
            </w:r>
          </w:p>
        </w:tc>
        <w:tc>
          <w:tcPr>
            <w:tcW w:type="dxa" w:w="5472"/>
            <w:vAlign w:val="center"/>
            <w:shd w:fill="F4F7F9"/>
          </w:tcPr>
          <w:p>
            <w:pPr>
              <w:spacing w:after="20"/>
            </w:pPr>
            <w:r>
              <w:rPr>
                <w:rFonts w:ascii="Aptos" w:hAnsi="Aptos"/>
                <w:sz w:val="15"/>
              </w:rPr>
              <w:t>Identify people/companies, enrich data, find signals, score ICP fit and verify evidence.</w:t>
            </w:r>
          </w:p>
        </w:tc>
        <w:tc>
          <w:tcPr>
            <w:tcW w:type="dxa" w:w="2880"/>
            <w:vAlign w:val="center"/>
            <w:shd w:fill="F4F7F9"/>
          </w:tcPr>
          <w:p>
            <w:pPr>
              <w:spacing w:after="20"/>
            </w:pPr>
            <w:r>
              <w:rPr>
                <w:rFonts w:ascii="Aptos" w:hAnsi="Aptos"/>
                <w:sz w:val="15"/>
              </w:rPr>
              <w:t>Lead Research Package</w:t>
            </w:r>
          </w:p>
        </w:tc>
      </w:tr>
      <w:tr>
        <w:tc>
          <w:tcPr>
            <w:tcW w:type="dxa" w:w="1800"/>
            <w:vAlign w:val="center"/>
          </w:tcPr>
          <w:p>
            <w:pPr>
              <w:spacing w:after="20"/>
            </w:pPr>
            <w:r>
              <w:rPr>
                <w:rFonts w:ascii="Aptos" w:hAnsi="Aptos"/>
                <w:sz w:val="15"/>
              </w:rPr>
              <w:t>Campaign Content</w:t>
            </w:r>
          </w:p>
        </w:tc>
        <w:tc>
          <w:tcPr>
            <w:tcW w:type="dxa" w:w="5472"/>
            <w:vAlign w:val="center"/>
          </w:tcPr>
          <w:p>
            <w:pPr>
              <w:spacing w:after="20"/>
            </w:pPr>
            <w:r>
              <w:rPr>
                <w:rFonts w:ascii="Aptos" w:hAnsi="Aptos"/>
                <w:sz w:val="15"/>
              </w:rPr>
              <w:t>Plan campaigns, generate channel assets, check brand/claims/compliance and learn from results.</w:t>
            </w:r>
          </w:p>
        </w:tc>
        <w:tc>
          <w:tcPr>
            <w:tcW w:type="dxa" w:w="2880"/>
            <w:vAlign w:val="center"/>
          </w:tcPr>
          <w:p>
            <w:pPr>
              <w:spacing w:after="20"/>
            </w:pPr>
            <w:r>
              <w:rPr>
                <w:rFonts w:ascii="Aptos" w:hAnsi="Aptos"/>
                <w:sz w:val="15"/>
              </w:rPr>
              <w:t>Campaign + approved content assets</w:t>
            </w:r>
          </w:p>
        </w:tc>
      </w:tr>
      <w:tr>
        <w:tc>
          <w:tcPr>
            <w:tcW w:type="dxa" w:w="1800"/>
            <w:vAlign w:val="center"/>
            <w:shd w:fill="F4F7F9"/>
          </w:tcPr>
          <w:p>
            <w:pPr>
              <w:spacing w:after="20"/>
            </w:pPr>
            <w:r>
              <w:rPr>
                <w:rFonts w:ascii="Aptos" w:hAnsi="Aptos"/>
                <w:sz w:val="15"/>
              </w:rPr>
              <w:t>Outreach</w:t>
            </w:r>
          </w:p>
        </w:tc>
        <w:tc>
          <w:tcPr>
            <w:tcW w:type="dxa" w:w="5472"/>
            <w:vAlign w:val="center"/>
            <w:shd w:fill="F4F7F9"/>
          </w:tcPr>
          <w:p>
            <w:pPr>
              <w:spacing w:after="20"/>
            </w:pPr>
            <w:r>
              <w:rPr>
                <w:rFonts w:ascii="Aptos" w:hAnsi="Aptos"/>
                <w:sz w:val="15"/>
              </w:rPr>
              <w:t>Discover/enrich/qualify prospects, personalize, execute approved outreach and manage follow-ups.</w:t>
            </w:r>
          </w:p>
        </w:tc>
        <w:tc>
          <w:tcPr>
            <w:tcW w:type="dxa" w:w="2880"/>
            <w:vAlign w:val="center"/>
            <w:shd w:fill="F4F7F9"/>
          </w:tcPr>
          <w:p>
            <w:pPr>
              <w:spacing w:after="20"/>
            </w:pPr>
            <w:r>
              <w:rPr>
                <w:rFonts w:ascii="Aptos" w:hAnsi="Aptos"/>
                <w:sz w:val="15"/>
              </w:rPr>
              <w:t>Outreach action + sequence state</w:t>
            </w:r>
          </w:p>
        </w:tc>
      </w:tr>
      <w:tr>
        <w:tc>
          <w:tcPr>
            <w:tcW w:type="dxa" w:w="1800"/>
            <w:vAlign w:val="center"/>
          </w:tcPr>
          <w:p>
            <w:pPr>
              <w:spacing w:after="20"/>
            </w:pPr>
            <w:r>
              <w:rPr>
                <w:rFonts w:ascii="Aptos" w:hAnsi="Aptos"/>
                <w:sz w:val="15"/>
              </w:rPr>
              <w:t>Inbox / Reply</w:t>
            </w:r>
          </w:p>
        </w:tc>
        <w:tc>
          <w:tcPr>
            <w:tcW w:type="dxa" w:w="5472"/>
            <w:vAlign w:val="center"/>
          </w:tcPr>
          <w:p>
            <w:pPr>
              <w:spacing w:after="20"/>
            </w:pPr>
            <w:r>
              <w:rPr>
                <w:rFonts w:ascii="Aptos" w:hAnsi="Aptos"/>
                <w:sz w:val="15"/>
              </w:rPr>
              <w:t>Search/read email, classify intent, summarize threads, draft replies and escalate meaningful conversations.</w:t>
            </w:r>
          </w:p>
        </w:tc>
        <w:tc>
          <w:tcPr>
            <w:tcW w:type="dxa" w:w="2880"/>
            <w:vAlign w:val="center"/>
          </w:tcPr>
          <w:p>
            <w:pPr>
              <w:spacing w:after="20"/>
            </w:pPr>
            <w:r>
              <w:rPr>
                <w:rFonts w:ascii="Aptos" w:hAnsi="Aptos"/>
                <w:sz w:val="15"/>
              </w:rPr>
              <w:t>Reply intelligence + draft/handoff</w:t>
            </w:r>
          </w:p>
        </w:tc>
      </w:tr>
      <w:tr>
        <w:tc>
          <w:tcPr>
            <w:tcW w:type="dxa" w:w="1800"/>
            <w:vAlign w:val="center"/>
            <w:shd w:fill="F4F7F9"/>
          </w:tcPr>
          <w:p>
            <w:pPr>
              <w:spacing w:after="20"/>
            </w:pPr>
            <w:r>
              <w:rPr>
                <w:rFonts w:ascii="Aptos" w:hAnsi="Aptos"/>
                <w:sz w:val="15"/>
              </w:rPr>
              <w:t>Lead Lifecycle</w:t>
            </w:r>
          </w:p>
        </w:tc>
        <w:tc>
          <w:tcPr>
            <w:tcW w:type="dxa" w:w="5472"/>
            <w:vAlign w:val="center"/>
            <w:shd w:fill="F4F7F9"/>
          </w:tcPr>
          <w:p>
            <w:pPr>
              <w:spacing w:after="20"/>
            </w:pPr>
            <w:r>
              <w:rPr>
                <w:rFonts w:ascii="Aptos" w:hAnsi="Aptos"/>
                <w:sz w:val="15"/>
              </w:rPr>
              <w:t>Maintain stage, interpret events, choose next action, enforce guardrails and route approval.</w:t>
            </w:r>
          </w:p>
        </w:tc>
        <w:tc>
          <w:tcPr>
            <w:tcW w:type="dxa" w:w="2880"/>
            <w:vAlign w:val="center"/>
            <w:shd w:fill="F4F7F9"/>
          </w:tcPr>
          <w:p>
            <w:pPr>
              <w:spacing w:after="20"/>
            </w:pPr>
            <w:r>
              <w:rPr>
                <w:rFonts w:ascii="Aptos" w:hAnsi="Aptos"/>
                <w:sz w:val="15"/>
              </w:rPr>
              <w:t>NextActionDecision</w:t>
            </w:r>
          </w:p>
        </w:tc>
      </w:tr>
    </w:tbl>
    <w:p>
      <w:pPr>
        <w:spacing w:after="0"/>
      </w:pPr>
    </w:p>
    <w:p>
      <w:pPr>
        <w:pStyle w:val="Heading2"/>
      </w:pPr>
      <w:r>
        <w:t>Shared responsibilities</w:t>
      </w:r>
    </w:p>
    <w:p>
      <w:pPr>
        <w:pStyle w:val="ListBullet"/>
        <w:spacing w:after="40"/>
        <w:ind w:left="259"/>
      </w:pPr>
      <w:r>
        <w:t>Every agent receives a task-specific context package instead of raw database access.</w:t>
      </w:r>
    </w:p>
    <w:p>
      <w:pPr>
        <w:pStyle w:val="ListBullet"/>
        <w:spacing w:after="40"/>
        <w:ind w:left="259"/>
      </w:pPr>
      <w:r>
        <w:t>Every agent uses typed tools; the language model proposes tool calls but the backend executes them.</w:t>
      </w:r>
    </w:p>
    <w:p>
      <w:pPr>
        <w:pStyle w:val="ListBullet"/>
        <w:spacing w:after="40"/>
        <w:ind w:left="259"/>
      </w:pPr>
      <w:r>
        <w:t>Every important result is written back as an event or state update.</w:t>
      </w:r>
    </w:p>
    <w:p>
      <w:pPr>
        <w:pStyle w:val="ListBullet"/>
        <w:spacing w:after="40"/>
        <w:ind w:left="259"/>
      </w:pPr>
      <w:r>
        <w:t>Every customer-facing or irreversible action passes through policy and permission checks.</w:t>
      </w:r>
    </w:p>
    <w:p>
      <w:pPr>
        <w:pStyle w:val="ListBullet"/>
        <w:spacing w:after="40"/>
        <w:ind w:left="259"/>
      </w:pPr>
      <w:r>
        <w:t>Every important decision can be traced to evidence, confidence, rule version and actor.</w:t>
      </w:r>
    </w:p>
    <w:p>
      <w:pPr>
        <w:pStyle w:val="Heading2"/>
      </w:pPr>
      <w:r>
        <w:t>What should not happen</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163B5C"/>
          </w:tcPr>
          <w:p>
            <w:pPr>
              <w:spacing w:after="20"/>
            </w:pPr>
            <w:r>
              <w:rPr>
                <w:rFonts w:ascii="Aptos" w:hAnsi="Aptos"/>
                <w:b/>
                <w:color w:val="FFFFFF"/>
                <w:sz w:val="16"/>
              </w:rPr>
              <w:t>Anti-pattern</w:t>
            </w:r>
          </w:p>
        </w:tc>
        <w:tc>
          <w:tcPr>
            <w:tcW w:type="dxa" w:w="6336"/>
            <w:vAlign w:val="center"/>
            <w:shd w:fill="163B5C"/>
          </w:tcPr>
          <w:p>
            <w:pPr>
              <w:spacing w:after="20"/>
            </w:pPr>
            <w:r>
              <w:rPr>
                <w:rFonts w:ascii="Aptos" w:hAnsi="Aptos"/>
                <w:b/>
                <w:color w:val="FFFFFF"/>
                <w:sz w:val="16"/>
              </w:rPr>
              <w:t>Why it is unsafe / difficult</w:t>
            </w:r>
          </w:p>
        </w:tc>
      </w:tr>
      <w:tr>
        <w:tc>
          <w:tcPr>
            <w:tcW w:type="dxa" w:w="3600"/>
            <w:vAlign w:val="center"/>
          </w:tcPr>
          <w:p>
            <w:pPr>
              <w:spacing w:after="20"/>
            </w:pPr>
            <w:r>
              <w:rPr>
                <w:rFonts w:ascii="Aptos" w:hAnsi="Aptos"/>
                <w:sz w:val="16"/>
              </w:rPr>
              <w:t>One giant agent doing everything</w:t>
            </w:r>
          </w:p>
        </w:tc>
        <w:tc>
          <w:tcPr>
            <w:tcW w:type="dxa" w:w="6336"/>
            <w:vAlign w:val="center"/>
          </w:tcPr>
          <w:p>
            <w:pPr>
              <w:spacing w:after="20"/>
            </w:pPr>
            <w:r>
              <w:rPr>
                <w:rFonts w:ascii="Aptos" w:hAnsi="Aptos"/>
                <w:sz w:val="16"/>
              </w:rPr>
              <w:t>Large context, unclear ownership, hard testing and weak governance.</w:t>
            </w:r>
          </w:p>
        </w:tc>
      </w:tr>
      <w:tr>
        <w:tc>
          <w:tcPr>
            <w:tcW w:type="dxa" w:w="3600"/>
            <w:vAlign w:val="center"/>
            <w:shd w:fill="F4F7F9"/>
          </w:tcPr>
          <w:p>
            <w:pPr>
              <w:spacing w:after="20"/>
            </w:pPr>
            <w:r>
              <w:rPr>
                <w:rFonts w:ascii="Aptos" w:hAnsi="Aptos"/>
                <w:sz w:val="16"/>
              </w:rPr>
              <w:t>Direct LLM access to CRM or mailbox</w:t>
            </w:r>
          </w:p>
        </w:tc>
        <w:tc>
          <w:tcPr>
            <w:tcW w:type="dxa" w:w="6336"/>
            <w:vAlign w:val="center"/>
            <w:shd w:fill="F4F7F9"/>
          </w:tcPr>
          <w:p>
            <w:pPr>
              <w:spacing w:after="20"/>
            </w:pPr>
            <w:r>
              <w:rPr>
                <w:rFonts w:ascii="Aptos" w:hAnsi="Aptos"/>
                <w:sz w:val="16"/>
              </w:rPr>
              <w:t>Model can bypass permission and validation boundaries.</w:t>
            </w:r>
          </w:p>
        </w:tc>
      </w:tr>
      <w:tr>
        <w:tc>
          <w:tcPr>
            <w:tcW w:type="dxa" w:w="3600"/>
            <w:vAlign w:val="center"/>
          </w:tcPr>
          <w:p>
            <w:pPr>
              <w:spacing w:after="20"/>
            </w:pPr>
            <w:r>
              <w:rPr>
                <w:rFonts w:ascii="Aptos" w:hAnsi="Aptos"/>
                <w:sz w:val="16"/>
              </w:rPr>
              <w:t>Independent memory per agent</w:t>
            </w:r>
          </w:p>
        </w:tc>
        <w:tc>
          <w:tcPr>
            <w:tcW w:type="dxa" w:w="6336"/>
            <w:vAlign w:val="center"/>
          </w:tcPr>
          <w:p>
            <w:pPr>
              <w:spacing w:after="20"/>
            </w:pPr>
            <w:r>
              <w:rPr>
                <w:rFonts w:ascii="Aptos" w:hAnsi="Aptos"/>
                <w:sz w:val="16"/>
              </w:rPr>
              <w:t>Agents can disagree about lead state and repeat work.</w:t>
            </w:r>
          </w:p>
        </w:tc>
      </w:tr>
      <w:tr>
        <w:tc>
          <w:tcPr>
            <w:tcW w:type="dxa" w:w="3600"/>
            <w:vAlign w:val="center"/>
            <w:shd w:fill="F4F7F9"/>
          </w:tcPr>
          <w:p>
            <w:pPr>
              <w:spacing w:after="20"/>
            </w:pPr>
            <w:r>
              <w:rPr>
                <w:rFonts w:ascii="Aptos" w:hAnsi="Aptos"/>
                <w:sz w:val="16"/>
              </w:rPr>
              <w:t>Unverified personalization</w:t>
            </w:r>
          </w:p>
        </w:tc>
        <w:tc>
          <w:tcPr>
            <w:tcW w:type="dxa" w:w="6336"/>
            <w:vAlign w:val="center"/>
            <w:shd w:fill="F4F7F9"/>
          </w:tcPr>
          <w:p>
            <w:pPr>
              <w:spacing w:after="20"/>
            </w:pPr>
            <w:r>
              <w:rPr>
                <w:rFonts w:ascii="Aptos" w:hAnsi="Aptos"/>
                <w:sz w:val="16"/>
              </w:rPr>
              <w:t>Creates hallucinated claims and poor customer experience.</w:t>
            </w:r>
          </w:p>
        </w:tc>
      </w:tr>
      <w:tr>
        <w:tc>
          <w:tcPr>
            <w:tcW w:type="dxa" w:w="3600"/>
            <w:vAlign w:val="center"/>
          </w:tcPr>
          <w:p>
            <w:pPr>
              <w:spacing w:after="20"/>
            </w:pPr>
            <w:r>
              <w:rPr>
                <w:rFonts w:ascii="Aptos" w:hAnsi="Aptos"/>
                <w:sz w:val="16"/>
              </w:rPr>
              <w:t>Automatic sending without a gate</w:t>
            </w:r>
          </w:p>
        </w:tc>
        <w:tc>
          <w:tcPr>
            <w:tcW w:type="dxa" w:w="6336"/>
            <w:vAlign w:val="center"/>
          </w:tcPr>
          <w:p>
            <w:pPr>
              <w:spacing w:after="20"/>
            </w:pPr>
            <w:r>
              <w:rPr>
                <w:rFonts w:ascii="Aptos" w:hAnsi="Aptos"/>
                <w:sz w:val="16"/>
              </w:rPr>
              <w:t>High-impact external action is not controlled by policy.</w:t>
            </w:r>
          </w:p>
        </w:tc>
      </w:tr>
      <w:tr>
        <w:tc>
          <w:tcPr>
            <w:tcW w:type="dxa" w:w="3600"/>
            <w:vAlign w:val="center"/>
            <w:shd w:fill="F4F7F9"/>
          </w:tcPr>
          <w:p>
            <w:pPr>
              <w:spacing w:after="20"/>
            </w:pPr>
            <w:r>
              <w:rPr>
                <w:rFonts w:ascii="Aptos" w:hAnsi="Aptos"/>
                <w:sz w:val="16"/>
              </w:rPr>
              <w:t>Static knowledge only</w:t>
            </w:r>
          </w:p>
        </w:tc>
        <w:tc>
          <w:tcPr>
            <w:tcW w:type="dxa" w:w="6336"/>
            <w:vAlign w:val="center"/>
            <w:shd w:fill="F4F7F9"/>
          </w:tcPr>
          <w:p>
            <w:pPr>
              <w:spacing w:after="20"/>
            </w:pPr>
            <w:r>
              <w:rPr>
                <w:rFonts w:ascii="Aptos" w:hAnsi="Aptos"/>
                <w:sz w:val="16"/>
              </w:rPr>
              <w:t>The system becomes stale as leads, replies and campaigns change.</w:t>
            </w:r>
          </w:p>
        </w:tc>
      </w:tr>
    </w:tbl>
    <w:p>
      <w:pPr>
        <w:spacing w:after="0"/>
      </w:pPr>
    </w:p>
    <w:p>
      <w:pPr>
        <w:pStyle w:val="Heading1"/>
        <w:pageBreakBefore/>
      </w:pPr>
      <w:r>
        <w:t>3. Main Unified Architecture</w:t>
      </w:r>
    </w:p>
    <w:p>
      <w:pPr>
        <w:pStyle w:val="Small"/>
      </w:pPr>
      <w:r>
        <w:rPr>
          <w:i/>
        </w:rPr>
        <w:t>The complete platform view</w:t>
      </w:r>
    </w:p>
    <w:p>
      <w:pPr>
        <w:keepNext/>
        <w:spacing w:after="60" w:line="240" w:lineRule="auto"/>
        <w:jc w:val="center"/>
      </w:pPr>
      <w:r>
        <w:drawing>
          <wp:inline xmlns:a="http://schemas.openxmlformats.org/drawingml/2006/main" xmlns:pic="http://schemas.openxmlformats.org/drawingml/2006/picture">
            <wp:extent cx="6400800" cy="4736592"/>
            <wp:docPr id="1" name="Picture 1"/>
            <wp:cNvGraphicFramePr>
              <a:graphicFrameLocks noChangeAspect="1"/>
            </wp:cNvGraphicFramePr>
            <a:graphic>
              <a:graphicData uri="http://schemas.openxmlformats.org/drawingml/2006/picture">
                <pic:pic>
                  <pic:nvPicPr>
                    <pic:cNvPr id="0" name="main_sales_ai_architecture.png"/>
                    <pic:cNvPicPr/>
                  </pic:nvPicPr>
                  <pic:blipFill>
                    <a:blip r:embed="rId11"/>
                    <a:stretch>
                      <a:fillRect/>
                    </a:stretch>
                  </pic:blipFill>
                  <pic:spPr>
                    <a:xfrm>
                      <a:off x="0" y="0"/>
                      <a:ext cx="6400800" cy="4736592"/>
                    </a:xfrm>
                    <a:prstGeom prst="rect"/>
                  </pic:spPr>
                </pic:pic>
              </a:graphicData>
            </a:graphic>
          </wp:inline>
        </w:drawing>
      </w:r>
    </w:p>
    <w:p>
      <w:pPr>
        <w:jc w:val="center"/>
      </w:pPr>
      <w:r>
        <w:rPr>
          <w:i/>
          <w:sz w:val="16"/>
        </w:rPr>
        <w:t>Figure 1. Main architecture of the centralized Sales AI Agent Platform.</w:t>
      </w:r>
    </w:p>
    <w:p>
      <w:r>
        <w:t>The architecture combines the six supplied designs into one control plane. Inputs enter through business systems and user goals. The Central Orchestrator decides which specialist should work. The Knowledge-Based Agent and shared state layer provide common context. Governance applies across the platform. Actions are executed only through approved integrations, and outcomes return as events.</w:t>
      </w:r>
    </w:p>
    <w:tbl>
      <w:tblPr>
        <w:tblStyle w:val="TableGrid"/>
        <w:tblW w:type="auto" w:w="0"/>
        <w:jc w:val="center"/>
        <w:tblLook w:firstColumn="1" w:firstRow="1" w:lastColumn="0" w:lastRow="0" w:noHBand="0" w:noVBand="1" w:val="04A0"/>
      </w:tblPr>
      <w:tblGrid>
        <w:gridCol w:w="10368"/>
      </w:tblGrid>
      <w:tr>
        <w:tc>
          <w:tcPr>
            <w:tcW w:type="dxa" w:w="10368"/>
            <w:shd w:fill="EAF2F8"/>
          </w:tcPr>
          <w:p>
            <w:r>
              <w:rPr>
                <w:b/>
                <w:color w:val="163B5C"/>
              </w:rPr>
              <w:t>Most important connection</w:t>
            </w:r>
          </w:p>
          <w:p>
            <w:pPr>
              <w:spacing w:after="0"/>
            </w:pPr>
            <w:r>
              <w:t>Lead Lifecycle is the decision layer, while Knowledge-Based is the shared context layer. The other specialist agents perform focused work and return structured evidence or outcomes.</w:t>
            </w:r>
          </w:p>
        </w:tc>
      </w:tr>
    </w:tbl>
    <w:p>
      <w:pPr>
        <w:spacing w:after="0"/>
      </w:pPr>
    </w:p>
    <w:p>
      <w:pPr>
        <w:pStyle w:val="Heading1"/>
        <w:pageBreakBefore/>
      </w:pPr>
      <w:r>
        <w:t>4. Shared Knowledge and Context Layer</w:t>
      </w:r>
    </w:p>
    <w:p>
      <w:pPr>
        <w:pStyle w:val="Small"/>
      </w:pPr>
      <w:r>
        <w:rPr>
          <w:i/>
        </w:rPr>
        <w:t>How all agents use the same trusted information</w:t>
      </w:r>
    </w:p>
    <w:p>
      <w:r>
        <w:t>The Knowledge-Based design treats knowledge as more than a vector database. It combines structured business data, semantic knowledge, event history and current interaction context. It ingests information, resolves entities, stores it, retrieves task-specific evidence and assembles a compact ContextPackage.</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center"/>
            <w:shd w:fill="163B5C"/>
          </w:tcPr>
          <w:p>
            <w:pPr>
              <w:spacing w:after="20"/>
            </w:pPr>
            <w:r>
              <w:rPr>
                <w:rFonts w:ascii="Aptos" w:hAnsi="Aptos"/>
                <w:b/>
                <w:color w:val="FFFFFF"/>
                <w:sz w:val="15"/>
              </w:rPr>
              <w:t>Layer</w:t>
            </w:r>
          </w:p>
        </w:tc>
        <w:tc>
          <w:tcPr>
            <w:tcW w:type="dxa" w:w="3384"/>
            <w:vAlign w:val="center"/>
            <w:shd w:fill="163B5C"/>
          </w:tcPr>
          <w:p>
            <w:pPr>
              <w:spacing w:after="20"/>
            </w:pPr>
            <w:r>
              <w:rPr>
                <w:rFonts w:ascii="Aptos" w:hAnsi="Aptos"/>
                <w:b/>
                <w:color w:val="FFFFFF"/>
                <w:sz w:val="15"/>
              </w:rPr>
              <w:t>Role</w:t>
            </w:r>
          </w:p>
        </w:tc>
        <w:tc>
          <w:tcPr>
            <w:tcW w:type="dxa" w:w="4608"/>
            <w:vAlign w:val="center"/>
            <w:shd w:fill="163B5C"/>
          </w:tcPr>
          <w:p>
            <w:pPr>
              <w:spacing w:after="20"/>
            </w:pPr>
            <w:r>
              <w:rPr>
                <w:rFonts w:ascii="Aptos" w:hAnsi="Aptos"/>
                <w:b/>
                <w:color w:val="FFFFFF"/>
                <w:sz w:val="15"/>
              </w:rPr>
              <w:t>Examples</w:t>
            </w:r>
          </w:p>
        </w:tc>
      </w:tr>
      <w:tr>
        <w:tc>
          <w:tcPr>
            <w:tcW w:type="dxa" w:w="1872"/>
            <w:vAlign w:val="center"/>
          </w:tcPr>
          <w:p>
            <w:pPr>
              <w:spacing w:after="20"/>
            </w:pPr>
            <w:r>
              <w:rPr>
                <w:rFonts w:ascii="Aptos" w:hAnsi="Aptos"/>
                <w:sz w:val="15"/>
              </w:rPr>
              <w:t>Sources</w:t>
            </w:r>
          </w:p>
        </w:tc>
        <w:tc>
          <w:tcPr>
            <w:tcW w:type="dxa" w:w="3384"/>
            <w:vAlign w:val="center"/>
          </w:tcPr>
          <w:p>
            <w:pPr>
              <w:spacing w:after="20"/>
            </w:pPr>
            <w:r>
              <w:rPr>
                <w:rFonts w:ascii="Aptos" w:hAnsi="Aptos"/>
                <w:sz w:val="15"/>
              </w:rPr>
              <w:t>Original business and interaction inputs</w:t>
            </w:r>
          </w:p>
        </w:tc>
        <w:tc>
          <w:tcPr>
            <w:tcW w:type="dxa" w:w="4608"/>
            <w:vAlign w:val="center"/>
          </w:tcPr>
          <w:p>
            <w:pPr>
              <w:spacing w:after="20"/>
            </w:pPr>
            <w:r>
              <w:rPr>
                <w:rFonts w:ascii="Aptos" w:hAnsi="Aptos"/>
                <w:sz w:val="15"/>
              </w:rPr>
              <w:t>CRM, product docs, playbooks, emails, calls, research, events</w:t>
            </w:r>
          </w:p>
        </w:tc>
      </w:tr>
      <w:tr>
        <w:tc>
          <w:tcPr>
            <w:tcW w:type="dxa" w:w="1872"/>
            <w:vAlign w:val="center"/>
            <w:shd w:fill="F4F7F9"/>
          </w:tcPr>
          <w:p>
            <w:pPr>
              <w:spacing w:after="20"/>
            </w:pPr>
            <w:r>
              <w:rPr>
                <w:rFonts w:ascii="Aptos" w:hAnsi="Aptos"/>
                <w:sz w:val="15"/>
              </w:rPr>
              <w:t>Ingestion</w:t>
            </w:r>
          </w:p>
        </w:tc>
        <w:tc>
          <w:tcPr>
            <w:tcW w:type="dxa" w:w="3384"/>
            <w:vAlign w:val="center"/>
            <w:shd w:fill="F4F7F9"/>
          </w:tcPr>
          <w:p>
            <w:pPr>
              <w:spacing w:after="20"/>
            </w:pPr>
            <w:r>
              <w:rPr>
                <w:rFonts w:ascii="Aptos" w:hAnsi="Aptos"/>
                <w:sz w:val="15"/>
              </w:rPr>
              <w:t>Bring information into the platform</w:t>
            </w:r>
          </w:p>
        </w:tc>
        <w:tc>
          <w:tcPr>
            <w:tcW w:type="dxa" w:w="4608"/>
            <w:vAlign w:val="center"/>
            <w:shd w:fill="F4F7F9"/>
          </w:tcPr>
          <w:p>
            <w:pPr>
              <w:spacing w:after="20"/>
            </w:pPr>
            <w:r>
              <w:rPr>
                <w:rFonts w:ascii="Aptos" w:hAnsi="Aptos"/>
                <w:sz w:val="15"/>
              </w:rPr>
              <w:t>Connectors, APIs, event consumers, file processing</w:t>
            </w:r>
          </w:p>
        </w:tc>
      </w:tr>
      <w:tr>
        <w:tc>
          <w:tcPr>
            <w:tcW w:type="dxa" w:w="1872"/>
            <w:vAlign w:val="center"/>
          </w:tcPr>
          <w:p>
            <w:pPr>
              <w:spacing w:after="20"/>
            </w:pPr>
            <w:r>
              <w:rPr>
                <w:rFonts w:ascii="Aptos" w:hAnsi="Aptos"/>
                <w:sz w:val="15"/>
              </w:rPr>
              <w:t>Processing</w:t>
            </w:r>
          </w:p>
        </w:tc>
        <w:tc>
          <w:tcPr>
            <w:tcW w:type="dxa" w:w="3384"/>
            <w:vAlign w:val="center"/>
          </w:tcPr>
          <w:p>
            <w:pPr>
              <w:spacing w:after="20"/>
            </w:pPr>
            <w:r>
              <w:rPr>
                <w:rFonts w:ascii="Aptos" w:hAnsi="Aptos"/>
                <w:sz w:val="15"/>
              </w:rPr>
              <w:t>Make information usable</w:t>
            </w:r>
          </w:p>
        </w:tc>
        <w:tc>
          <w:tcPr>
            <w:tcW w:type="dxa" w:w="4608"/>
            <w:vAlign w:val="center"/>
          </w:tcPr>
          <w:p>
            <w:pPr>
              <w:spacing w:after="20"/>
            </w:pPr>
            <w:r>
              <w:rPr>
                <w:rFonts w:ascii="Aptos" w:hAnsi="Aptos"/>
                <w:sz w:val="15"/>
              </w:rPr>
              <w:t>Parsing, chunking, classification, entity resolution, deduplication, metadata</w:t>
            </w:r>
          </w:p>
        </w:tc>
      </w:tr>
      <w:tr>
        <w:tc>
          <w:tcPr>
            <w:tcW w:type="dxa" w:w="1872"/>
            <w:vAlign w:val="center"/>
            <w:shd w:fill="F4F7F9"/>
          </w:tcPr>
          <w:p>
            <w:pPr>
              <w:spacing w:after="20"/>
            </w:pPr>
            <w:r>
              <w:rPr>
                <w:rFonts w:ascii="Aptos" w:hAnsi="Aptos"/>
                <w:sz w:val="15"/>
              </w:rPr>
              <w:t>Stores</w:t>
            </w:r>
          </w:p>
        </w:tc>
        <w:tc>
          <w:tcPr>
            <w:tcW w:type="dxa" w:w="3384"/>
            <w:vAlign w:val="center"/>
            <w:shd w:fill="F4F7F9"/>
          </w:tcPr>
          <w:p>
            <w:pPr>
              <w:spacing w:after="20"/>
            </w:pPr>
            <w:r>
              <w:rPr>
                <w:rFonts w:ascii="Aptos" w:hAnsi="Aptos"/>
                <w:sz w:val="15"/>
              </w:rPr>
              <w:t>Keep different forms of knowledge</w:t>
            </w:r>
          </w:p>
        </w:tc>
        <w:tc>
          <w:tcPr>
            <w:tcW w:type="dxa" w:w="4608"/>
            <w:vAlign w:val="center"/>
            <w:shd w:fill="F4F7F9"/>
          </w:tcPr>
          <w:p>
            <w:pPr>
              <w:spacing w:after="20"/>
            </w:pPr>
            <w:r>
              <w:rPr>
                <w:rFonts w:ascii="Aptos" w:hAnsi="Aptos"/>
                <w:sz w:val="15"/>
              </w:rPr>
              <w:t>PostgreSQL, vector store, event store, object storage</w:t>
            </w:r>
          </w:p>
        </w:tc>
      </w:tr>
      <w:tr>
        <w:tc>
          <w:tcPr>
            <w:tcW w:type="dxa" w:w="1872"/>
            <w:vAlign w:val="center"/>
          </w:tcPr>
          <w:p>
            <w:pPr>
              <w:spacing w:after="20"/>
            </w:pPr>
            <w:r>
              <w:rPr>
                <w:rFonts w:ascii="Aptos" w:hAnsi="Aptos"/>
                <w:sz w:val="15"/>
              </w:rPr>
              <w:t>Hybrid retrieval</w:t>
            </w:r>
          </w:p>
        </w:tc>
        <w:tc>
          <w:tcPr>
            <w:tcW w:type="dxa" w:w="3384"/>
            <w:vAlign w:val="center"/>
          </w:tcPr>
          <w:p>
            <w:pPr>
              <w:spacing w:after="20"/>
            </w:pPr>
            <w:r>
              <w:rPr>
                <w:rFonts w:ascii="Aptos" w:hAnsi="Aptos"/>
                <w:sz w:val="15"/>
              </w:rPr>
              <w:t>Find the right context</w:t>
            </w:r>
          </w:p>
        </w:tc>
        <w:tc>
          <w:tcPr>
            <w:tcW w:type="dxa" w:w="4608"/>
            <w:vAlign w:val="center"/>
          </w:tcPr>
          <w:p>
            <w:pPr>
              <w:spacing w:after="20"/>
            </w:pPr>
            <w:r>
              <w:rPr>
                <w:rFonts w:ascii="Aptos" w:hAnsi="Aptos"/>
                <w:sz w:val="15"/>
              </w:rPr>
              <w:t>Keyword + semantic + structured + history + permission filters</w:t>
            </w:r>
          </w:p>
        </w:tc>
      </w:tr>
      <w:tr>
        <w:tc>
          <w:tcPr>
            <w:tcW w:type="dxa" w:w="1872"/>
            <w:vAlign w:val="center"/>
            <w:shd w:fill="F4F7F9"/>
          </w:tcPr>
          <w:p>
            <w:pPr>
              <w:spacing w:after="20"/>
            </w:pPr>
            <w:r>
              <w:rPr>
                <w:rFonts w:ascii="Aptos" w:hAnsi="Aptos"/>
                <w:sz w:val="15"/>
              </w:rPr>
              <w:t>Context assembly</w:t>
            </w:r>
          </w:p>
        </w:tc>
        <w:tc>
          <w:tcPr>
            <w:tcW w:type="dxa" w:w="3384"/>
            <w:vAlign w:val="center"/>
            <w:shd w:fill="F4F7F9"/>
          </w:tcPr>
          <w:p>
            <w:pPr>
              <w:spacing w:after="20"/>
            </w:pPr>
            <w:r>
              <w:rPr>
                <w:rFonts w:ascii="Aptos" w:hAnsi="Aptos"/>
                <w:sz w:val="15"/>
              </w:rPr>
              <w:t>Prepare task-specific context</w:t>
            </w:r>
          </w:p>
        </w:tc>
        <w:tc>
          <w:tcPr>
            <w:tcW w:type="dxa" w:w="4608"/>
            <w:vAlign w:val="center"/>
            <w:shd w:fill="F4F7F9"/>
          </w:tcPr>
          <w:p>
            <w:pPr>
              <w:spacing w:after="20"/>
            </w:pPr>
            <w:r>
              <w:rPr>
                <w:rFonts w:ascii="Aptos" w:hAnsi="Aptos"/>
                <w:sz w:val="15"/>
              </w:rPr>
              <w:t>Identity, current state, history, evidence, constraints, conflicts</w:t>
            </w:r>
          </w:p>
        </w:tc>
      </w:tr>
      <w:tr>
        <w:tc>
          <w:tcPr>
            <w:tcW w:type="dxa" w:w="1872"/>
            <w:vAlign w:val="center"/>
          </w:tcPr>
          <w:p>
            <w:pPr>
              <w:spacing w:after="20"/>
            </w:pPr>
            <w:r>
              <w:rPr>
                <w:rFonts w:ascii="Aptos" w:hAnsi="Aptos"/>
                <w:sz w:val="15"/>
              </w:rPr>
              <w:t>Governance</w:t>
            </w:r>
          </w:p>
        </w:tc>
        <w:tc>
          <w:tcPr>
            <w:tcW w:type="dxa" w:w="3384"/>
            <w:vAlign w:val="center"/>
          </w:tcPr>
          <w:p>
            <w:pPr>
              <w:spacing w:after="20"/>
            </w:pPr>
            <w:r>
              <w:rPr>
                <w:rFonts w:ascii="Aptos" w:hAnsi="Aptos"/>
                <w:sz w:val="15"/>
              </w:rPr>
              <w:t>Control use of knowledge</w:t>
            </w:r>
          </w:p>
        </w:tc>
        <w:tc>
          <w:tcPr>
            <w:tcW w:type="dxa" w:w="4608"/>
            <w:vAlign w:val="center"/>
          </w:tcPr>
          <w:p>
            <w:pPr>
              <w:spacing w:after="20"/>
            </w:pPr>
            <w:r>
              <w:rPr>
                <w:rFonts w:ascii="Aptos" w:hAnsi="Aptos"/>
                <w:sz w:val="15"/>
              </w:rPr>
              <w:t>RBAC, provenance, confidence, audit, human approval</w:t>
            </w:r>
          </w:p>
        </w:tc>
      </w:tr>
    </w:tbl>
    <w:p>
      <w:pPr>
        <w:spacing w:after="0"/>
      </w:pPr>
    </w:p>
    <w:p>
      <w:pPr>
        <w:pStyle w:val="Heading2"/>
      </w:pPr>
      <w:r>
        <w:t>Why shared context matters</w:t>
      </w:r>
    </w:p>
    <w:p>
      <w:pPr>
        <w:pStyle w:val="ListBullet"/>
        <w:spacing w:after="40"/>
        <w:ind w:left="259"/>
      </w:pPr>
      <w:r>
        <w:t>Lead Research can ask what is already known and what is missing.</w:t>
      </w:r>
    </w:p>
    <w:p>
      <w:pPr>
        <w:pStyle w:val="ListBullet"/>
        <w:spacing w:after="40"/>
        <w:ind w:left="259"/>
      </w:pPr>
      <w:r>
        <w:t>Campaign Content can retrieve persona, product facts, approved messaging and recent interactions.</w:t>
      </w:r>
    </w:p>
    <w:p>
      <w:pPr>
        <w:pStyle w:val="ListBullet"/>
        <w:spacing w:after="40"/>
        <w:ind w:left="259"/>
      </w:pPr>
      <w:r>
        <w:t>Outreach can check lead state, previous sends, channel constraints and timing before execution.</w:t>
      </w:r>
    </w:p>
    <w:p>
      <w:pPr>
        <w:pStyle w:val="ListBullet"/>
        <w:spacing w:after="40"/>
        <w:ind w:left="259"/>
      </w:pPr>
      <w:r>
        <w:t>Inbox can interpret a reply using conversation history, objections and campaign context.</w:t>
      </w:r>
    </w:p>
    <w:p>
      <w:pPr>
        <w:pStyle w:val="ListBullet"/>
        <w:spacing w:after="40"/>
        <w:ind w:left="259"/>
      </w:pPr>
      <w:r>
        <w:t>Lead Lifecycle can combine lifecycle, interactions, engagement, research, open tasks and playbook rules.</w:t>
      </w:r>
    </w:p>
    <w:p>
      <w:r>
        <w:t>The result should be a ContextPackage with identity, current state, relevant knowledge, evidence, constraints and conflict information. This prevents each agent from inventing its own view of the customer.</w:t>
      </w:r>
    </w:p>
    <w:p>
      <w:pPr>
        <w:pStyle w:val="Heading1"/>
      </w:pPr>
      <w:r>
        <w:t>5. Lead Research Agent</w:t>
      </w:r>
    </w:p>
    <w:p>
      <w:pPr>
        <w:pStyle w:val="Small"/>
      </w:pPr>
      <w:r>
        <w:rPr>
          <w:i/>
        </w:rPr>
        <w:t>From raw lead to evidence-backed research package</w:t>
      </w:r>
    </w:p>
    <w:p>
      <w:r>
        <w:t>The Lead Research design focuses on accurate identity, current person and company information, business signals, ICP fit, evidence and confidence. It is not a paragraph generator; its output is intended to be safely consumed by downstream agents.</w:t>
      </w:r>
    </w:p>
    <w:p>
      <w:pPr>
        <w:pStyle w:val="ListNumber"/>
        <w:spacing w:after="40"/>
      </w:pPr>
      <w:r>
        <w:t>Receive lead input and campaign/ICP rules.</w:t>
      </w:r>
    </w:p>
    <w:p>
      <w:pPr>
        <w:pStyle w:val="ListNumber"/>
        <w:spacing w:after="40"/>
      </w:pPr>
      <w:r>
        <w:t>Match the person and company and check existing CRM data.</w:t>
      </w:r>
    </w:p>
    <w:p>
      <w:pPr>
        <w:pStyle w:val="ListNumber"/>
        <w:spacing w:after="40"/>
      </w:pPr>
      <w:r>
        <w:t>Research person, company, contact and business signals.</w:t>
      </w:r>
    </w:p>
    <w:p>
      <w:pPr>
        <w:pStyle w:val="ListNumber"/>
        <w:spacing w:after="40"/>
      </w:pPr>
      <w:r>
        <w:t>Attach source, date, status and confidence to important facts.</w:t>
      </w:r>
    </w:p>
    <w:p>
      <w:pPr>
        <w:pStyle w:val="ListNumber"/>
        <w:spacing w:after="40"/>
      </w:pPr>
      <w:r>
        <w:t>Calculate ICP fit, intent, timing and confidence using fixed scoring rules.</w:t>
      </w:r>
    </w:p>
    <w:p>
      <w:pPr>
        <w:pStyle w:val="ListNumber"/>
        <w:spacing w:after="40"/>
      </w:pPr>
      <w:r>
        <w:t>Run suppression and safety checks.</w:t>
      </w:r>
    </w:p>
    <w:p>
      <w:pPr>
        <w:pStyle w:val="ListNumber"/>
        <w:spacing w:after="40"/>
      </w:pPr>
      <w:r>
        <w:t>Create the Lead Research Package and pass it to the next agent.</w:t>
      </w:r>
    </w:p>
    <w:tbl>
      <w:tblPr>
        <w:tblStyle w:val="TableGrid"/>
        <w:tblW w:type="auto" w:w="0"/>
        <w:jc w:val="center"/>
        <w:tblLook w:firstColumn="1" w:firstRow="1" w:lastColumn="0" w:lastRow="0" w:noHBand="0" w:noVBand="1" w:val="04A0"/>
      </w:tblPr>
      <w:tblGrid>
        <w:gridCol w:w="5184"/>
        <w:gridCol w:w="5184"/>
      </w:tblGrid>
      <w:tr>
        <w:tc>
          <w:tcPr>
            <w:tcW w:type="dxa" w:w="2232"/>
            <w:vAlign w:val="center"/>
            <w:shd w:fill="163B5C"/>
          </w:tcPr>
          <w:p>
            <w:pPr>
              <w:spacing w:after="20"/>
            </w:pPr>
            <w:r>
              <w:rPr>
                <w:rFonts w:ascii="Aptos" w:hAnsi="Aptos"/>
                <w:b/>
                <w:color w:val="FFFFFF"/>
                <w:sz w:val="16"/>
              </w:rPr>
              <w:t>Research area</w:t>
            </w:r>
          </w:p>
        </w:tc>
        <w:tc>
          <w:tcPr>
            <w:tcW w:type="dxa" w:w="7704"/>
            <w:vAlign w:val="center"/>
            <w:shd w:fill="163B5C"/>
          </w:tcPr>
          <w:p>
            <w:pPr>
              <w:spacing w:after="20"/>
            </w:pPr>
            <w:r>
              <w:rPr>
                <w:rFonts w:ascii="Aptos" w:hAnsi="Aptos"/>
                <w:b/>
                <w:color w:val="FFFFFF"/>
                <w:sz w:val="16"/>
              </w:rPr>
              <w:t>Examples</w:t>
            </w:r>
          </w:p>
        </w:tc>
      </w:tr>
      <w:tr>
        <w:tc>
          <w:tcPr>
            <w:tcW w:type="dxa" w:w="2232"/>
            <w:vAlign w:val="center"/>
          </w:tcPr>
          <w:p>
            <w:pPr>
              <w:spacing w:after="20"/>
            </w:pPr>
            <w:r>
              <w:rPr>
                <w:rFonts w:ascii="Aptos" w:hAnsi="Aptos"/>
                <w:sz w:val="16"/>
              </w:rPr>
              <w:t>Person</w:t>
            </w:r>
          </w:p>
        </w:tc>
        <w:tc>
          <w:tcPr>
            <w:tcW w:type="dxa" w:w="7704"/>
            <w:vAlign w:val="center"/>
          </w:tcPr>
          <w:p>
            <w:pPr>
              <w:spacing w:after="20"/>
            </w:pPr>
            <w:r>
              <w:rPr>
                <w:rFonts w:ascii="Aptos" w:hAnsi="Aptos"/>
                <w:sz w:val="16"/>
              </w:rPr>
              <w:t>Name, title, department, seniority, location, work history</w:t>
            </w:r>
          </w:p>
        </w:tc>
      </w:tr>
      <w:tr>
        <w:tc>
          <w:tcPr>
            <w:tcW w:type="dxa" w:w="2232"/>
            <w:vAlign w:val="center"/>
            <w:shd w:fill="F4F7F9"/>
          </w:tcPr>
          <w:p>
            <w:pPr>
              <w:spacing w:after="20"/>
            </w:pPr>
            <w:r>
              <w:rPr>
                <w:rFonts w:ascii="Aptos" w:hAnsi="Aptos"/>
                <w:sz w:val="16"/>
              </w:rPr>
              <w:t>Company</w:t>
            </w:r>
          </w:p>
        </w:tc>
        <w:tc>
          <w:tcPr>
            <w:tcW w:type="dxa" w:w="7704"/>
            <w:vAlign w:val="center"/>
            <w:shd w:fill="F4F7F9"/>
          </w:tcPr>
          <w:p>
            <w:pPr>
              <w:spacing w:after="20"/>
            </w:pPr>
            <w:r>
              <w:rPr>
                <w:rFonts w:ascii="Aptos" w:hAnsi="Aptos"/>
                <w:sz w:val="16"/>
              </w:rPr>
              <w:t>Industry, size, location, funding, leadership, hiring, technology, recent activity</w:t>
            </w:r>
          </w:p>
        </w:tc>
      </w:tr>
      <w:tr>
        <w:tc>
          <w:tcPr>
            <w:tcW w:type="dxa" w:w="2232"/>
            <w:vAlign w:val="center"/>
          </w:tcPr>
          <w:p>
            <w:pPr>
              <w:spacing w:after="20"/>
            </w:pPr>
            <w:r>
              <w:rPr>
                <w:rFonts w:ascii="Aptos" w:hAnsi="Aptos"/>
                <w:sz w:val="16"/>
              </w:rPr>
              <w:t>Buying signals</w:t>
            </w:r>
          </w:p>
        </w:tc>
        <w:tc>
          <w:tcPr>
            <w:tcW w:type="dxa" w:w="7704"/>
            <w:vAlign w:val="center"/>
          </w:tcPr>
          <w:p>
            <w:pPr>
              <w:spacing w:after="20"/>
            </w:pPr>
            <w:r>
              <w:rPr>
                <w:rFonts w:ascii="Aptos" w:hAnsi="Aptos"/>
                <w:sz w:val="16"/>
              </w:rPr>
              <w:t>Funding, hiring, leadership change, expansion, product launch, technology change, major partnership</w:t>
            </w:r>
          </w:p>
        </w:tc>
      </w:tr>
      <w:tr>
        <w:tc>
          <w:tcPr>
            <w:tcW w:type="dxa" w:w="2232"/>
            <w:vAlign w:val="center"/>
            <w:shd w:fill="F4F7F9"/>
          </w:tcPr>
          <w:p>
            <w:pPr>
              <w:spacing w:after="20"/>
            </w:pPr>
            <w:r>
              <w:rPr>
                <w:rFonts w:ascii="Aptos" w:hAnsi="Aptos"/>
                <w:sz w:val="16"/>
              </w:rPr>
              <w:t>Evidence</w:t>
            </w:r>
          </w:p>
        </w:tc>
        <w:tc>
          <w:tcPr>
            <w:tcW w:type="dxa" w:w="7704"/>
            <w:vAlign w:val="center"/>
            <w:shd w:fill="F4F7F9"/>
          </w:tcPr>
          <w:p>
            <w:pPr>
              <w:spacing w:after="20"/>
            </w:pPr>
            <w:r>
              <w:rPr>
                <w:rFonts w:ascii="Aptos" w:hAnsi="Aptos"/>
                <w:sz w:val="16"/>
              </w:rPr>
              <w:t>Claim, source, date, confidence, status</w:t>
            </w:r>
          </w:p>
        </w:tc>
      </w:tr>
      <w:tr>
        <w:tc>
          <w:tcPr>
            <w:tcW w:type="dxa" w:w="2232"/>
            <w:vAlign w:val="center"/>
          </w:tcPr>
          <w:p>
            <w:pPr>
              <w:spacing w:after="20"/>
            </w:pPr>
            <w:r>
              <w:rPr>
                <w:rFonts w:ascii="Aptos" w:hAnsi="Aptos"/>
                <w:sz w:val="16"/>
              </w:rPr>
              <w:t>Scoring</w:t>
            </w:r>
          </w:p>
        </w:tc>
        <w:tc>
          <w:tcPr>
            <w:tcW w:type="dxa" w:w="7704"/>
            <w:vAlign w:val="center"/>
          </w:tcPr>
          <w:p>
            <w:pPr>
              <w:spacing w:after="20"/>
            </w:pPr>
            <w:r>
              <w:rPr>
                <w:rFonts w:ascii="Aptos" w:hAnsi="Aptos"/>
                <w:sz w:val="16"/>
              </w:rPr>
              <w:t>ICP fit 40%, intent 30%, timing 20%, confidence 10% as an example framework</w:t>
            </w:r>
          </w:p>
        </w:tc>
      </w:tr>
      <w:tr>
        <w:tc>
          <w:tcPr>
            <w:tcW w:type="dxa" w:w="2232"/>
            <w:vAlign w:val="center"/>
            <w:shd w:fill="F4F7F9"/>
          </w:tcPr>
          <w:p>
            <w:pPr>
              <w:spacing w:after="20"/>
            </w:pPr>
            <w:r>
              <w:rPr>
                <w:rFonts w:ascii="Aptos" w:hAnsi="Aptos"/>
                <w:sz w:val="16"/>
              </w:rPr>
              <w:t>Output</w:t>
            </w:r>
          </w:p>
        </w:tc>
        <w:tc>
          <w:tcPr>
            <w:tcW w:type="dxa" w:w="7704"/>
            <w:vAlign w:val="center"/>
            <w:shd w:fill="F4F7F9"/>
          </w:tcPr>
          <w:p>
            <w:pPr>
              <w:spacing w:after="20"/>
            </w:pPr>
            <w:r>
              <w:rPr>
                <w:rFonts w:ascii="Aptos" w:hAnsi="Aptos"/>
                <w:sz w:val="16"/>
              </w:rPr>
              <w:t>Lead identity, company data, signals, evidence, score, compliance and personalization inputs</w:t>
            </w:r>
          </w:p>
        </w:tc>
      </w:tr>
    </w:tbl>
    <w:p>
      <w:pPr>
        <w:spacing w:after="0"/>
      </w:pPr>
    </w:p>
    <w:p>
      <w:pPr>
        <w:pStyle w:val="Heading2"/>
      </w:pPr>
      <w:r>
        <w:t>Waterfall enrichment</w:t>
      </w:r>
    </w:p>
    <w:p>
      <w:r>
        <w:t>The supplied design recommends using the cheapest and most trusted available information first: internal CRM data, then primary enrichment, fallback enrichment when necessary, contact verification, signal research and finally the packaged result. This reduces cost and unnecessary external calls.</w:t>
      </w:r>
    </w:p>
    <w:p>
      <w:pPr>
        <w:pStyle w:val="Heading1"/>
        <w:pageBreakBefore/>
      </w:pPr>
      <w:r>
        <w:t>6. Campaign Content Agent</w:t>
      </w:r>
    </w:p>
    <w:p>
      <w:pPr>
        <w:pStyle w:val="Small"/>
      </w:pPr>
      <w:r>
        <w:rPr>
          <w:i/>
        </w:rPr>
        <w:t>Turning a campaign brief into approved multi-channel content</w:t>
      </w:r>
    </w:p>
    <w:p>
      <w:r>
        <w:t>The Campaign Content design treats content creation as a controlled workflow rather than a one-shot generation task. The agent works from a structured brief, retrieves approved brand and product knowledge, generates assets, checks them, routes them for approval, publishes when permitted and learns from performance.</w:t>
      </w:r>
    </w:p>
    <w:tbl>
      <w:tblPr>
        <w:tblStyle w:val="TableGrid"/>
        <w:tblW w:type="auto" w:w="0"/>
        <w:jc w:val="center"/>
        <w:tblLook w:firstColumn="1" w:firstRow="1" w:lastColumn="0" w:lastRow="0" w:noHBand="0" w:noVBand="1" w:val="04A0"/>
      </w:tblPr>
      <w:tblGrid>
        <w:gridCol w:w="5184"/>
        <w:gridCol w:w="5184"/>
      </w:tblGrid>
      <w:tr>
        <w:tc>
          <w:tcPr>
            <w:tcW w:type="dxa" w:w="1872"/>
            <w:vAlign w:val="center"/>
            <w:shd w:fill="163B5C"/>
          </w:tcPr>
          <w:p>
            <w:pPr>
              <w:spacing w:after="20"/>
            </w:pPr>
            <w:r>
              <w:rPr>
                <w:rFonts w:ascii="Aptos" w:hAnsi="Aptos"/>
                <w:b/>
                <w:color w:val="FFFFFF"/>
                <w:sz w:val="16"/>
              </w:rPr>
              <w:t>Stage</w:t>
            </w:r>
          </w:p>
        </w:tc>
        <w:tc>
          <w:tcPr>
            <w:tcW w:type="dxa" w:w="8064"/>
            <w:vAlign w:val="center"/>
            <w:shd w:fill="163B5C"/>
          </w:tcPr>
          <w:p>
            <w:pPr>
              <w:spacing w:after="20"/>
            </w:pPr>
            <w:r>
              <w:rPr>
                <w:rFonts w:ascii="Aptos" w:hAnsi="Aptos"/>
                <w:b/>
                <w:color w:val="FFFFFF"/>
                <w:sz w:val="16"/>
              </w:rPr>
              <w:t>What happens</w:t>
            </w:r>
          </w:p>
        </w:tc>
      </w:tr>
      <w:tr>
        <w:tc>
          <w:tcPr>
            <w:tcW w:type="dxa" w:w="1872"/>
            <w:vAlign w:val="center"/>
          </w:tcPr>
          <w:p>
            <w:pPr>
              <w:spacing w:after="20"/>
            </w:pPr>
            <w:r>
              <w:rPr>
                <w:rFonts w:ascii="Aptos" w:hAnsi="Aptos"/>
                <w:sz w:val="16"/>
              </w:rPr>
              <w:t>Brief</w:t>
            </w:r>
          </w:p>
        </w:tc>
        <w:tc>
          <w:tcPr>
            <w:tcW w:type="dxa" w:w="8064"/>
            <w:vAlign w:val="center"/>
          </w:tcPr>
          <w:p>
            <w:pPr>
              <w:spacing w:after="20"/>
            </w:pPr>
            <w:r>
              <w:rPr>
                <w:rFonts w:ascii="Aptos" w:hAnsi="Aptos"/>
                <w:sz w:val="16"/>
              </w:rPr>
              <w:t>Capture objective, audience, offer, channels, dates, budget and constraints.</w:t>
            </w:r>
          </w:p>
        </w:tc>
      </w:tr>
      <w:tr>
        <w:tc>
          <w:tcPr>
            <w:tcW w:type="dxa" w:w="1872"/>
            <w:vAlign w:val="center"/>
            <w:shd w:fill="F4F7F9"/>
          </w:tcPr>
          <w:p>
            <w:pPr>
              <w:spacing w:after="20"/>
            </w:pPr>
            <w:r>
              <w:rPr>
                <w:rFonts w:ascii="Aptos" w:hAnsi="Aptos"/>
                <w:sz w:val="16"/>
              </w:rPr>
              <w:t>Plan</w:t>
            </w:r>
          </w:p>
        </w:tc>
        <w:tc>
          <w:tcPr>
            <w:tcW w:type="dxa" w:w="8064"/>
            <w:vAlign w:val="center"/>
            <w:shd w:fill="F4F7F9"/>
          </w:tcPr>
          <w:p>
            <w:pPr>
              <w:spacing w:after="20"/>
            </w:pPr>
            <w:r>
              <w:rPr>
                <w:rFonts w:ascii="Aptos" w:hAnsi="Aptos"/>
                <w:sz w:val="16"/>
              </w:rPr>
              <w:t>Retrieve brand kit, product facts and past performance; propose message pillars and calendar.</w:t>
            </w:r>
          </w:p>
        </w:tc>
      </w:tr>
      <w:tr>
        <w:tc>
          <w:tcPr>
            <w:tcW w:type="dxa" w:w="1872"/>
            <w:vAlign w:val="center"/>
          </w:tcPr>
          <w:p>
            <w:pPr>
              <w:spacing w:after="20"/>
            </w:pPr>
            <w:r>
              <w:rPr>
                <w:rFonts w:ascii="Aptos" w:hAnsi="Aptos"/>
                <w:sz w:val="16"/>
              </w:rPr>
              <w:t>Generate</w:t>
            </w:r>
          </w:p>
        </w:tc>
        <w:tc>
          <w:tcPr>
            <w:tcW w:type="dxa" w:w="8064"/>
            <w:vAlign w:val="center"/>
          </w:tcPr>
          <w:p>
            <w:pPr>
              <w:spacing w:after="20"/>
            </w:pPr>
            <w:r>
              <w:rPr>
                <w:rFonts w:ascii="Aptos" w:hAnsi="Aptos"/>
                <w:sz w:val="16"/>
              </w:rPr>
              <w:t>Create channel-specific posts, emails, ad copy, outlines, scripts and image prompts.</w:t>
            </w:r>
          </w:p>
        </w:tc>
      </w:tr>
      <w:tr>
        <w:tc>
          <w:tcPr>
            <w:tcW w:type="dxa" w:w="1872"/>
            <w:vAlign w:val="center"/>
            <w:shd w:fill="F4F7F9"/>
          </w:tcPr>
          <w:p>
            <w:pPr>
              <w:spacing w:after="20"/>
            </w:pPr>
            <w:r>
              <w:rPr>
                <w:rFonts w:ascii="Aptos" w:hAnsi="Aptos"/>
                <w:sz w:val="16"/>
              </w:rPr>
              <w:t>Check</w:t>
            </w:r>
          </w:p>
        </w:tc>
        <w:tc>
          <w:tcPr>
            <w:tcW w:type="dxa" w:w="8064"/>
            <w:vAlign w:val="center"/>
            <w:shd w:fill="F4F7F9"/>
          </w:tcPr>
          <w:p>
            <w:pPr>
              <w:spacing w:after="20"/>
            </w:pPr>
            <w:r>
              <w:rPr>
                <w:rFonts w:ascii="Aptos" w:hAnsi="Aptos"/>
                <w:sz w:val="16"/>
              </w:rPr>
              <w:t>Run brand, claim, compliance, similarity and platform-format checks.</w:t>
            </w:r>
          </w:p>
        </w:tc>
      </w:tr>
      <w:tr>
        <w:tc>
          <w:tcPr>
            <w:tcW w:type="dxa" w:w="1872"/>
            <w:vAlign w:val="center"/>
          </w:tcPr>
          <w:p>
            <w:pPr>
              <w:spacing w:after="20"/>
            </w:pPr>
            <w:r>
              <w:rPr>
                <w:rFonts w:ascii="Aptos" w:hAnsi="Aptos"/>
                <w:sz w:val="16"/>
              </w:rPr>
              <w:t>Review</w:t>
            </w:r>
          </w:p>
        </w:tc>
        <w:tc>
          <w:tcPr>
            <w:tcW w:type="dxa" w:w="8064"/>
            <w:vAlign w:val="center"/>
          </w:tcPr>
          <w:p>
            <w:pPr>
              <w:spacing w:after="20"/>
            </w:pPr>
            <w:r>
              <w:rPr>
                <w:rFonts w:ascii="Aptos" w:hAnsi="Aptos"/>
                <w:sz w:val="16"/>
              </w:rPr>
              <w:t>Human edits, comments, approves or rejects; feedback is applied to assets.</w:t>
            </w:r>
          </w:p>
        </w:tc>
      </w:tr>
      <w:tr>
        <w:tc>
          <w:tcPr>
            <w:tcW w:type="dxa" w:w="1872"/>
            <w:vAlign w:val="center"/>
            <w:shd w:fill="F4F7F9"/>
          </w:tcPr>
          <w:p>
            <w:pPr>
              <w:spacing w:after="20"/>
            </w:pPr>
            <w:r>
              <w:rPr>
                <w:rFonts w:ascii="Aptos" w:hAnsi="Aptos"/>
                <w:sz w:val="16"/>
              </w:rPr>
              <w:t>Publish</w:t>
            </w:r>
          </w:p>
        </w:tc>
        <w:tc>
          <w:tcPr>
            <w:tcW w:type="dxa" w:w="8064"/>
            <w:vAlign w:val="center"/>
            <w:shd w:fill="F4F7F9"/>
          </w:tcPr>
          <w:p>
            <w:pPr>
              <w:spacing w:after="20"/>
            </w:pPr>
            <w:r>
              <w:rPr>
                <w:rFonts w:ascii="Aptos" w:hAnsi="Aptos"/>
                <w:sz w:val="16"/>
              </w:rPr>
              <w:t>Schedule or publish approved content through integrations.</w:t>
            </w:r>
          </w:p>
        </w:tc>
      </w:tr>
      <w:tr>
        <w:tc>
          <w:tcPr>
            <w:tcW w:type="dxa" w:w="1872"/>
            <w:vAlign w:val="center"/>
          </w:tcPr>
          <w:p>
            <w:pPr>
              <w:spacing w:after="20"/>
            </w:pPr>
            <w:r>
              <w:rPr>
                <w:rFonts w:ascii="Aptos" w:hAnsi="Aptos"/>
                <w:sz w:val="16"/>
              </w:rPr>
              <w:t>Measure &amp; learn</w:t>
            </w:r>
          </w:p>
        </w:tc>
        <w:tc>
          <w:tcPr>
            <w:tcW w:type="dxa" w:w="8064"/>
            <w:vAlign w:val="center"/>
          </w:tcPr>
          <w:p>
            <w:pPr>
              <w:spacing w:after="20"/>
            </w:pPr>
            <w:r>
              <w:rPr>
                <w:rFonts w:ascii="Aptos" w:hAnsi="Aptos"/>
                <w:sz w:val="16"/>
              </w:rPr>
              <w:t>Read performance, compare variants and inform the next plan.</w:t>
            </w:r>
          </w:p>
        </w:tc>
      </w:tr>
    </w:tbl>
    <w:p>
      <w:pPr>
        <w:spacing w:after="0"/>
      </w:pPr>
    </w:p>
    <w:p>
      <w:pPr>
        <w:pStyle w:val="Heading2"/>
      </w:pPr>
      <w:r>
        <w:t>Grounding rules</w:t>
      </w:r>
    </w:p>
    <w:p>
      <w:pPr>
        <w:pStyle w:val="ListBullet"/>
        <w:spacing w:after="40"/>
        <w:ind w:left="259"/>
      </w:pPr>
      <w:r>
        <w:t>Brand voice and do-not-say rules are retrieved instead of remembered by the model.</w:t>
      </w:r>
    </w:p>
    <w:p>
      <w:pPr>
        <w:pStyle w:val="ListBullet"/>
        <w:spacing w:after="40"/>
        <w:ind w:left="259"/>
      </w:pPr>
      <w:r>
        <w:t>Product facts, prices, offers and legal disclaimers are treated as approved claims.</w:t>
      </w:r>
    </w:p>
    <w:p>
      <w:pPr>
        <w:pStyle w:val="ListBullet"/>
        <w:spacing w:after="40"/>
        <w:ind w:left="259"/>
      </w:pPr>
      <w:r>
        <w:t>Each important claim should be traceable to the supporting knowledge entry.</w:t>
      </w:r>
    </w:p>
    <w:p>
      <w:pPr>
        <w:pStyle w:val="ListBullet"/>
        <w:spacing w:after="40"/>
        <w:ind w:left="259"/>
      </w:pPr>
      <w:r>
        <w:t>Unsupported claims are flagged rather than silently accepted.</w:t>
      </w:r>
    </w:p>
    <w:p>
      <w:pPr>
        <w:pStyle w:val="ListBullet"/>
        <w:spacing w:after="40"/>
        <w:ind w:left="259"/>
      </w:pPr>
      <w:r>
        <w:t>Human approval is required before publishing or spending budget.</w:t>
      </w:r>
    </w:p>
    <w:p>
      <w:pPr>
        <w:pStyle w:val="Heading2"/>
      </w:pPr>
      <w:r>
        <w:t>Connection to the other agents</w:t>
      </w:r>
    </w:p>
    <w:p>
      <w:r>
        <w:t>Campaign Content can use Lead Research evidence for audience-specific messaging, Knowledge-Based context for product and brand facts, Outreach state for campaign sequencing, Inbox signals for objections and Lead Lifecycle decisions for when new content is needed.</w:t>
      </w:r>
    </w:p>
    <w:p>
      <w:pPr>
        <w:pStyle w:val="Heading1"/>
        <w:pageBreakBefore/>
      </w:pPr>
      <w:r>
        <w:t>7. Outreach Agent</w:t>
      </w:r>
    </w:p>
    <w:p>
      <w:pPr>
        <w:pStyle w:val="Small"/>
      </w:pPr>
      <w:r>
        <w:rPr>
          <w:i/>
        </w:rPr>
        <w:t>The execution engine for qualified prospects</w:t>
      </w:r>
    </w:p>
    <w:p>
      <w:r>
        <w:t>The Outreach design combines prospect discovery, enrichment, research, qualification, personalization, policy checks, execution, reply monitoring, follow-up, CRM memory and analytics. Its core goal is relevant conversations, not simply more messages.</w:t>
      </w:r>
    </w:p>
    <w:p>
      <w:pPr>
        <w:pStyle w:val="ListNumber"/>
        <w:numPr>
          <w:ilvl w:val="0"/>
          <w:numId w:val="10"/>
        </w:numPr>
        <w:spacing w:after="40"/>
      </w:pPr>
      <w:r>
        <w:t>Define campaign goal, target audience, offer and constraints.</w:t>
      </w:r>
    </w:p>
    <w:p>
      <w:pPr>
        <w:pStyle w:val="ListNumber"/>
        <w:numPr>
          <w:ilvl w:val="0"/>
          <w:numId w:val="10"/>
        </w:numPr>
        <w:spacing w:after="40"/>
      </w:pPr>
      <w:r>
        <w:t>Discover prospects from permitted sources or CRM segments.</w:t>
      </w:r>
    </w:p>
    <w:p>
      <w:pPr>
        <w:pStyle w:val="ListNumber"/>
        <w:numPr>
          <w:ilvl w:val="0"/>
          <w:numId w:val="10"/>
        </w:numPr>
        <w:spacing w:after="40"/>
      </w:pPr>
      <w:r>
        <w:t>Enrich missing contact and company information.</w:t>
      </w:r>
    </w:p>
    <w:p>
      <w:pPr>
        <w:pStyle w:val="ListNumber"/>
        <w:numPr>
          <w:ilvl w:val="0"/>
          <w:numId w:val="10"/>
        </w:numPr>
        <w:spacing w:after="40"/>
      </w:pPr>
      <w:r>
        <w:t>Research current and relevant signals.</w:t>
      </w:r>
    </w:p>
    <w:p>
      <w:pPr>
        <w:pStyle w:val="ListNumber"/>
        <w:numPr>
          <w:ilvl w:val="0"/>
          <w:numId w:val="10"/>
        </w:numPr>
        <w:spacing w:after="40"/>
      </w:pPr>
      <w:r>
        <w:t>Qualify against ICP, intent/readiness and exclusion rules.</w:t>
      </w:r>
    </w:p>
    <w:p>
      <w:pPr>
        <w:pStyle w:val="ListNumber"/>
        <w:numPr>
          <w:ilvl w:val="0"/>
          <w:numId w:val="10"/>
        </w:numPr>
        <w:spacing w:after="40"/>
      </w:pPr>
      <w:r>
        <w:t>Prioritize high-fit and high-intent prospects.</w:t>
      </w:r>
    </w:p>
    <w:p>
      <w:pPr>
        <w:pStyle w:val="ListNumber"/>
        <w:numPr>
          <w:ilvl w:val="0"/>
          <w:numId w:val="10"/>
        </w:numPr>
        <w:spacing w:after="40"/>
      </w:pPr>
      <w:r>
        <w:t>Personalize from verified evidence and approved value propositions.</w:t>
      </w:r>
    </w:p>
    <w:p>
      <w:pPr>
        <w:pStyle w:val="ListNumber"/>
        <w:numPr>
          <w:ilvl w:val="0"/>
          <w:numId w:val="10"/>
        </w:numPr>
        <w:spacing w:after="40"/>
      </w:pPr>
      <w:r>
        <w:t>Validate factual grounding, missing variables, tone and policy.</w:t>
      </w:r>
    </w:p>
    <w:p>
      <w:pPr>
        <w:pStyle w:val="ListNumber"/>
        <w:numPr>
          <w:ilvl w:val="0"/>
          <w:numId w:val="10"/>
        </w:numPr>
        <w:spacing w:after="40"/>
      </w:pPr>
      <w:r>
        <w:t>Obtain approval when required and execute the approved action.</w:t>
      </w:r>
    </w:p>
    <w:p>
      <w:pPr>
        <w:pStyle w:val="ListNumber"/>
        <w:numPr>
          <w:ilvl w:val="0"/>
          <w:numId w:val="10"/>
        </w:numPr>
        <w:spacing w:after="40"/>
      </w:pPr>
      <w:r>
        <w:t>Track sends, timestamps, content versions and statuses.</w:t>
      </w:r>
    </w:p>
    <w:p>
      <w:pPr>
        <w:pStyle w:val="ListNumber"/>
        <w:numPr>
          <w:ilvl w:val="0"/>
          <w:numId w:val="10"/>
        </w:numPr>
        <w:spacing w:after="40"/>
      </w:pPr>
      <w:r>
        <w:t>Monitor replies, bounces and out-of-office events.</w:t>
      </w:r>
    </w:p>
    <w:p>
      <w:pPr>
        <w:pStyle w:val="ListNumber"/>
        <w:numPr>
          <w:ilvl w:val="0"/>
          <w:numId w:val="10"/>
        </w:numPr>
        <w:spacing w:after="40"/>
      </w:pPr>
      <w:r>
        <w:t>Classify replies and stop, follow up or hand off as appropriate.</w:t>
      </w:r>
    </w:p>
    <w:p>
      <w:pPr>
        <w:pStyle w:val="ListNumber"/>
        <w:numPr>
          <w:ilvl w:val="0"/>
          <w:numId w:val="10"/>
        </w:numPr>
        <w:spacing w:after="40"/>
      </w:pPr>
      <w:r>
        <w:t>Update CRM/shared state and measure performance.</w:t>
      </w:r>
    </w:p>
    <w:tbl>
      <w:tblPr>
        <w:tblStyle w:val="TableGrid"/>
        <w:tblW w:type="auto" w:w="0"/>
        <w:jc w:val="center"/>
        <w:tblLook w:firstColumn="1" w:firstRow="1" w:lastColumn="0" w:lastRow="0" w:noHBand="0" w:noVBand="1" w:val="04A0"/>
      </w:tblPr>
      <w:tblGrid>
        <w:gridCol w:w="10368"/>
      </w:tblGrid>
      <w:tr>
        <w:tc>
          <w:tcPr>
            <w:tcW w:type="dxa" w:w="10368"/>
            <w:shd w:fill="EAF2F8"/>
          </w:tcPr>
          <w:p>
            <w:r>
              <w:rPr>
                <w:b/>
                <w:color w:val="163B5C"/>
              </w:rPr>
              <w:t>Personalization rule</w:t>
            </w:r>
          </w:p>
          <w:p>
            <w:pPr>
              <w:spacing w:after="0"/>
            </w:pPr>
            <w:r>
              <w:t>Use a specific, verified observation connected to a relevant business problem. If a required variable is missing, use a safe generic structure rather than inventing information.</w:t>
            </w:r>
          </w:p>
        </w:tc>
      </w:tr>
    </w:tbl>
    <w:p>
      <w:pPr>
        <w:spacing w:after="0"/>
      </w:pPr>
    </w:p>
    <w:p>
      <w:pPr>
        <w:pStyle w:val="Heading2"/>
      </w:pPr>
      <w:r>
        <w:t>Connection to the platform</w:t>
      </w:r>
    </w:p>
    <w:p>
      <w:r>
        <w:t>Outreach receives research and context from shared knowledge, uses Lifecycle decisions to determine when and how to act, sends through permissioned integrations, and sends every outcome back as an event so Inbox and Lifecycle can react.</w:t>
      </w:r>
    </w:p>
    <w:p>
      <w:pPr>
        <w:pStyle w:val="Heading1"/>
      </w:pPr>
      <w:r>
        <w:t>8. Inbox / Reply Intelligence Agent</w:t>
      </w:r>
    </w:p>
    <w:p>
      <w:pPr>
        <w:pStyle w:val="Small"/>
      </w:pPr>
      <w:r>
        <w:rPr>
          <w:i/>
        </w:rPr>
        <w:t>Understanding live conversations and protecting the handoff to humans</w:t>
      </w:r>
    </w:p>
    <w:p>
      <w:r>
        <w:t>The Inbox Agent connects to Gmail or Outlook through OAuth. It searches and reads mailbox data, summarizes threads, classifies intent, identifies messages needing action, drafts replies and can take approved actions. The model never touches the mailbox directly; backend tools execute all operations.</w:t>
      </w:r>
    </w:p>
    <w:tbl>
      <w:tblPr>
        <w:tblStyle w:val="TableGrid"/>
        <w:tblW w:type="auto" w:w="0"/>
        <w:jc w:val="center"/>
        <w:tblLook w:firstColumn="1" w:firstRow="1" w:lastColumn="0" w:lastRow="0" w:noHBand="0" w:noVBand="1" w:val="04A0"/>
      </w:tblPr>
      <w:tblGrid>
        <w:gridCol w:w="5184"/>
        <w:gridCol w:w="5184"/>
      </w:tblGrid>
      <w:tr>
        <w:tc>
          <w:tcPr>
            <w:tcW w:type="dxa" w:w="2232"/>
            <w:vAlign w:val="center"/>
            <w:shd w:fill="163B5C"/>
          </w:tcPr>
          <w:p>
            <w:pPr>
              <w:spacing w:after="20"/>
            </w:pPr>
            <w:r>
              <w:rPr>
                <w:rFonts w:ascii="Aptos" w:hAnsi="Aptos"/>
                <w:b/>
                <w:color w:val="FFFFFF"/>
                <w:sz w:val="16"/>
              </w:rPr>
              <w:t>Capability</w:t>
            </w:r>
          </w:p>
        </w:tc>
        <w:tc>
          <w:tcPr>
            <w:tcW w:type="dxa" w:w="7704"/>
            <w:vAlign w:val="center"/>
            <w:shd w:fill="163B5C"/>
          </w:tcPr>
          <w:p>
            <w:pPr>
              <w:spacing w:after="20"/>
            </w:pPr>
            <w:r>
              <w:rPr>
                <w:rFonts w:ascii="Aptos" w:hAnsi="Aptos"/>
                <w:b/>
                <w:color w:val="FFFFFF"/>
                <w:sz w:val="16"/>
              </w:rPr>
              <w:t>Platform behavior</w:t>
            </w:r>
          </w:p>
        </w:tc>
      </w:tr>
      <w:tr>
        <w:tc>
          <w:tcPr>
            <w:tcW w:type="dxa" w:w="2232"/>
            <w:vAlign w:val="center"/>
          </w:tcPr>
          <w:p>
            <w:pPr>
              <w:spacing w:after="20"/>
            </w:pPr>
            <w:r>
              <w:rPr>
                <w:rFonts w:ascii="Aptos" w:hAnsi="Aptos"/>
                <w:sz w:val="16"/>
              </w:rPr>
              <w:t>Search</w:t>
            </w:r>
          </w:p>
        </w:tc>
        <w:tc>
          <w:tcPr>
            <w:tcW w:type="dxa" w:w="7704"/>
            <w:vAlign w:val="center"/>
          </w:tcPr>
          <w:p>
            <w:pPr>
              <w:spacing w:after="20"/>
            </w:pPr>
            <w:r>
              <w:rPr>
                <w:rFonts w:ascii="Aptos" w:hAnsi="Aptos"/>
                <w:sz w:val="16"/>
              </w:rPr>
              <w:t>Find by sender, date, label, keyword or semantic meaning.</w:t>
            </w:r>
          </w:p>
        </w:tc>
      </w:tr>
      <w:tr>
        <w:tc>
          <w:tcPr>
            <w:tcW w:type="dxa" w:w="2232"/>
            <w:vAlign w:val="center"/>
            <w:shd w:fill="F4F7F9"/>
          </w:tcPr>
          <w:p>
            <w:pPr>
              <w:spacing w:after="20"/>
            </w:pPr>
            <w:r>
              <w:rPr>
                <w:rFonts w:ascii="Aptos" w:hAnsi="Aptos"/>
                <w:sz w:val="16"/>
              </w:rPr>
              <w:t>Understand</w:t>
            </w:r>
          </w:p>
        </w:tc>
        <w:tc>
          <w:tcPr>
            <w:tcW w:type="dxa" w:w="7704"/>
            <w:vAlign w:val="center"/>
            <w:shd w:fill="F4F7F9"/>
          </w:tcPr>
          <w:p>
            <w:pPr>
              <w:spacing w:after="20"/>
            </w:pPr>
            <w:r>
              <w:rPr>
                <w:rFonts w:ascii="Aptos" w:hAnsi="Aptos"/>
                <w:sz w:val="16"/>
              </w:rPr>
              <w:t>Summarize threads; detect intent, sentiment and urgency.</w:t>
            </w:r>
          </w:p>
        </w:tc>
      </w:tr>
      <w:tr>
        <w:tc>
          <w:tcPr>
            <w:tcW w:type="dxa" w:w="2232"/>
            <w:vAlign w:val="center"/>
          </w:tcPr>
          <w:p>
            <w:pPr>
              <w:spacing w:after="20"/>
            </w:pPr>
            <w:r>
              <w:rPr>
                <w:rFonts w:ascii="Aptos" w:hAnsi="Aptos"/>
                <w:sz w:val="16"/>
              </w:rPr>
              <w:t>Prioritize</w:t>
            </w:r>
          </w:p>
        </w:tc>
        <w:tc>
          <w:tcPr>
            <w:tcW w:type="dxa" w:w="7704"/>
            <w:vAlign w:val="center"/>
          </w:tcPr>
          <w:p>
            <w:pPr>
              <w:spacing w:after="20"/>
            </w:pPr>
            <w:r>
              <w:rPr>
                <w:rFonts w:ascii="Aptos" w:hAnsi="Aptos"/>
                <w:sz w:val="16"/>
              </w:rPr>
              <w:t>Surface replies, waiting threads and approaching deadlines.</w:t>
            </w:r>
          </w:p>
        </w:tc>
      </w:tr>
      <w:tr>
        <w:tc>
          <w:tcPr>
            <w:tcW w:type="dxa" w:w="2232"/>
            <w:vAlign w:val="center"/>
            <w:shd w:fill="F4F7F9"/>
          </w:tcPr>
          <w:p>
            <w:pPr>
              <w:spacing w:after="20"/>
            </w:pPr>
            <w:r>
              <w:rPr>
                <w:rFonts w:ascii="Aptos" w:hAnsi="Aptos"/>
                <w:sz w:val="16"/>
              </w:rPr>
              <w:t>Extract</w:t>
            </w:r>
          </w:p>
        </w:tc>
        <w:tc>
          <w:tcPr>
            <w:tcW w:type="dxa" w:w="7704"/>
            <w:vAlign w:val="center"/>
            <w:shd w:fill="F4F7F9"/>
          </w:tcPr>
          <w:p>
            <w:pPr>
              <w:spacing w:after="20"/>
            </w:pPr>
            <w:r>
              <w:rPr>
                <w:rFonts w:ascii="Aptos" w:hAnsi="Aptos"/>
                <w:sz w:val="16"/>
              </w:rPr>
              <w:t>Pull names, dates, amounts, requests and action items.</w:t>
            </w:r>
          </w:p>
        </w:tc>
      </w:tr>
      <w:tr>
        <w:tc>
          <w:tcPr>
            <w:tcW w:type="dxa" w:w="2232"/>
            <w:vAlign w:val="center"/>
          </w:tcPr>
          <w:p>
            <w:pPr>
              <w:spacing w:after="20"/>
            </w:pPr>
            <w:r>
              <w:rPr>
                <w:rFonts w:ascii="Aptos" w:hAnsi="Aptos"/>
                <w:sz w:val="16"/>
              </w:rPr>
              <w:t>Draft</w:t>
            </w:r>
          </w:p>
        </w:tc>
        <w:tc>
          <w:tcPr>
            <w:tcW w:type="dxa" w:w="7704"/>
            <w:vAlign w:val="center"/>
          </w:tcPr>
          <w:p>
            <w:pPr>
              <w:spacing w:after="20"/>
            </w:pPr>
            <w:r>
              <w:rPr>
                <w:rFonts w:ascii="Aptos" w:hAnsi="Aptos"/>
                <w:sz w:val="16"/>
              </w:rPr>
              <w:t>Create a reply in the approved user style without sending.</w:t>
            </w:r>
          </w:p>
        </w:tc>
      </w:tr>
      <w:tr>
        <w:tc>
          <w:tcPr>
            <w:tcW w:type="dxa" w:w="2232"/>
            <w:vAlign w:val="center"/>
            <w:shd w:fill="F4F7F9"/>
          </w:tcPr>
          <w:p>
            <w:pPr>
              <w:spacing w:after="20"/>
            </w:pPr>
            <w:r>
              <w:rPr>
                <w:rFonts w:ascii="Aptos" w:hAnsi="Aptos"/>
                <w:sz w:val="16"/>
              </w:rPr>
              <w:t>Act</w:t>
            </w:r>
          </w:p>
        </w:tc>
        <w:tc>
          <w:tcPr>
            <w:tcW w:type="dxa" w:w="7704"/>
            <w:vAlign w:val="center"/>
            <w:shd w:fill="F4F7F9"/>
          </w:tcPr>
          <w:p>
            <w:pPr>
              <w:spacing w:after="20"/>
            </w:pPr>
            <w:r>
              <w:rPr>
                <w:rFonts w:ascii="Aptos" w:hAnsi="Aptos"/>
                <w:sz w:val="16"/>
              </w:rPr>
              <w:t>Send, label, archive or schedule only when permission and approval allow it.</w:t>
            </w:r>
          </w:p>
        </w:tc>
      </w:tr>
      <w:tr>
        <w:tc>
          <w:tcPr>
            <w:tcW w:type="dxa" w:w="2232"/>
            <w:vAlign w:val="center"/>
          </w:tcPr>
          <w:p>
            <w:pPr>
              <w:spacing w:after="20"/>
            </w:pPr>
            <w:r>
              <w:rPr>
                <w:rFonts w:ascii="Aptos" w:hAnsi="Aptos"/>
                <w:sz w:val="16"/>
              </w:rPr>
              <w:t>Background mode</w:t>
            </w:r>
          </w:p>
        </w:tc>
        <w:tc>
          <w:tcPr>
            <w:tcW w:type="dxa" w:w="7704"/>
            <w:vAlign w:val="center"/>
          </w:tcPr>
          <w:p>
            <w:pPr>
              <w:spacing w:after="20"/>
            </w:pPr>
            <w:r>
              <w:rPr>
                <w:rFonts w:ascii="Aptos" w:hAnsi="Aptos"/>
                <w:sz w:val="16"/>
              </w:rPr>
              <w:t>Use events/webhooks and workers to classify new mail and notify or prepare drafts.</w:t>
            </w:r>
          </w:p>
        </w:tc>
      </w:tr>
    </w:tbl>
    <w:p>
      <w:pPr>
        <w:spacing w:after="0"/>
      </w:pPr>
    </w:p>
    <w:p>
      <w:pPr>
        <w:pStyle w:val="Heading2"/>
      </w:pPr>
      <w:r>
        <w:t>Reply decision examples</w:t>
      </w:r>
    </w:p>
    <w:tbl>
      <w:tblPr>
        <w:tblStyle w:val="TableGrid"/>
        <w:tblW w:type="auto" w:w="0"/>
        <w:jc w:val="center"/>
        <w:tblLook w:firstColumn="1" w:firstRow="1" w:lastColumn="0" w:lastRow="0" w:noHBand="0" w:noVBand="1" w:val="04A0"/>
      </w:tblPr>
      <w:tblGrid>
        <w:gridCol w:w="5184"/>
        <w:gridCol w:w="5184"/>
      </w:tblGrid>
      <w:tr>
        <w:tc>
          <w:tcPr>
            <w:tcW w:type="dxa" w:w="2232"/>
            <w:vAlign w:val="center"/>
            <w:shd w:fill="163B5C"/>
          </w:tcPr>
          <w:p>
            <w:pPr>
              <w:spacing w:after="20"/>
            </w:pPr>
            <w:r>
              <w:rPr>
                <w:rFonts w:ascii="Aptos" w:hAnsi="Aptos"/>
                <w:b/>
                <w:color w:val="FFFFFF"/>
                <w:sz w:val="16"/>
              </w:rPr>
              <w:t>Reply type</w:t>
            </w:r>
          </w:p>
        </w:tc>
        <w:tc>
          <w:tcPr>
            <w:tcW w:type="dxa" w:w="7704"/>
            <w:vAlign w:val="center"/>
            <w:shd w:fill="163B5C"/>
          </w:tcPr>
          <w:p>
            <w:pPr>
              <w:spacing w:after="20"/>
            </w:pPr>
            <w:r>
              <w:rPr>
                <w:rFonts w:ascii="Aptos" w:hAnsi="Aptos"/>
                <w:b/>
                <w:color w:val="FFFFFF"/>
                <w:sz w:val="16"/>
              </w:rPr>
              <w:t>Default platform response</w:t>
            </w:r>
          </w:p>
        </w:tc>
      </w:tr>
      <w:tr>
        <w:tc>
          <w:tcPr>
            <w:tcW w:type="dxa" w:w="2232"/>
            <w:vAlign w:val="center"/>
          </w:tcPr>
          <w:p>
            <w:pPr>
              <w:spacing w:after="20"/>
            </w:pPr>
            <w:r>
              <w:rPr>
                <w:rFonts w:ascii="Aptos" w:hAnsi="Aptos"/>
                <w:sz w:val="16"/>
              </w:rPr>
              <w:t>Interested</w:t>
            </w:r>
          </w:p>
        </w:tc>
        <w:tc>
          <w:tcPr>
            <w:tcW w:type="dxa" w:w="7704"/>
            <w:vAlign w:val="center"/>
          </w:tcPr>
          <w:p>
            <w:pPr>
              <w:spacing w:after="20"/>
            </w:pPr>
            <w:r>
              <w:rPr>
                <w:rFonts w:ascii="Aptos" w:hAnsi="Aptos"/>
                <w:sz w:val="16"/>
              </w:rPr>
              <w:t>Stop automated sequence and create seller handoff.</w:t>
            </w:r>
          </w:p>
        </w:tc>
      </w:tr>
      <w:tr>
        <w:tc>
          <w:tcPr>
            <w:tcW w:type="dxa" w:w="2232"/>
            <w:vAlign w:val="center"/>
            <w:shd w:fill="F4F7F9"/>
          </w:tcPr>
          <w:p>
            <w:pPr>
              <w:spacing w:after="20"/>
            </w:pPr>
            <w:r>
              <w:rPr>
                <w:rFonts w:ascii="Aptos" w:hAnsi="Aptos"/>
                <w:sz w:val="16"/>
              </w:rPr>
              <w:t>Question</w:t>
            </w:r>
          </w:p>
        </w:tc>
        <w:tc>
          <w:tcPr>
            <w:tcW w:type="dxa" w:w="7704"/>
            <w:vAlign w:val="center"/>
            <w:shd w:fill="F4F7F9"/>
          </w:tcPr>
          <w:p>
            <w:pPr>
              <w:spacing w:after="20"/>
            </w:pPr>
            <w:r>
              <w:rPr>
                <w:rFonts w:ascii="Aptos" w:hAnsi="Aptos"/>
                <w:sz w:val="16"/>
              </w:rPr>
              <w:t>Use approved knowledge to draft/answer; escalate if uncertain.</w:t>
            </w:r>
          </w:p>
        </w:tc>
      </w:tr>
      <w:tr>
        <w:tc>
          <w:tcPr>
            <w:tcW w:type="dxa" w:w="2232"/>
            <w:vAlign w:val="center"/>
          </w:tcPr>
          <w:p>
            <w:pPr>
              <w:spacing w:after="20"/>
            </w:pPr>
            <w:r>
              <w:rPr>
                <w:rFonts w:ascii="Aptos" w:hAnsi="Aptos"/>
                <w:sz w:val="16"/>
              </w:rPr>
              <w:t>Objection</w:t>
            </w:r>
          </w:p>
        </w:tc>
        <w:tc>
          <w:tcPr>
            <w:tcW w:type="dxa" w:w="7704"/>
            <w:vAlign w:val="center"/>
          </w:tcPr>
          <w:p>
            <w:pPr>
              <w:spacing w:after="20"/>
            </w:pPr>
            <w:r>
              <w:rPr>
                <w:rFonts w:ascii="Aptos" w:hAnsi="Aptos"/>
                <w:sz w:val="16"/>
              </w:rPr>
              <w:t>Prepare approved response or route to seller.</w:t>
            </w:r>
          </w:p>
        </w:tc>
      </w:tr>
      <w:tr>
        <w:tc>
          <w:tcPr>
            <w:tcW w:type="dxa" w:w="2232"/>
            <w:vAlign w:val="center"/>
            <w:shd w:fill="F4F7F9"/>
          </w:tcPr>
          <w:p>
            <w:pPr>
              <w:spacing w:after="20"/>
            </w:pPr>
            <w:r>
              <w:rPr>
                <w:rFonts w:ascii="Aptos" w:hAnsi="Aptos"/>
                <w:sz w:val="16"/>
              </w:rPr>
              <w:t>Not interested</w:t>
            </w:r>
          </w:p>
        </w:tc>
        <w:tc>
          <w:tcPr>
            <w:tcW w:type="dxa" w:w="7704"/>
            <w:vAlign w:val="center"/>
            <w:shd w:fill="F4F7F9"/>
          </w:tcPr>
          <w:p>
            <w:pPr>
              <w:spacing w:after="20"/>
            </w:pPr>
            <w:r>
              <w:rPr>
                <w:rFonts w:ascii="Aptos" w:hAnsi="Aptos"/>
                <w:sz w:val="16"/>
              </w:rPr>
              <w:t>Stop sequence and record disposition.</w:t>
            </w:r>
          </w:p>
        </w:tc>
      </w:tr>
      <w:tr>
        <w:tc>
          <w:tcPr>
            <w:tcW w:type="dxa" w:w="2232"/>
            <w:vAlign w:val="center"/>
          </w:tcPr>
          <w:p>
            <w:pPr>
              <w:spacing w:after="20"/>
            </w:pPr>
            <w:r>
              <w:rPr>
                <w:rFonts w:ascii="Aptos" w:hAnsi="Aptos"/>
                <w:sz w:val="16"/>
              </w:rPr>
              <w:t>Unsubscribe</w:t>
            </w:r>
          </w:p>
        </w:tc>
        <w:tc>
          <w:tcPr>
            <w:tcW w:type="dxa" w:w="7704"/>
            <w:vAlign w:val="center"/>
          </w:tcPr>
          <w:p>
            <w:pPr>
              <w:spacing w:after="20"/>
            </w:pPr>
            <w:r>
              <w:rPr>
                <w:rFonts w:ascii="Aptos" w:hAnsi="Aptos"/>
                <w:sz w:val="16"/>
              </w:rPr>
              <w:t>Immediately suppress future outreach.</w:t>
            </w:r>
          </w:p>
        </w:tc>
      </w:tr>
      <w:tr>
        <w:tc>
          <w:tcPr>
            <w:tcW w:type="dxa" w:w="2232"/>
            <w:vAlign w:val="center"/>
            <w:shd w:fill="F4F7F9"/>
          </w:tcPr>
          <w:p>
            <w:pPr>
              <w:spacing w:after="20"/>
            </w:pPr>
            <w:r>
              <w:rPr>
                <w:rFonts w:ascii="Aptos" w:hAnsi="Aptos"/>
                <w:sz w:val="16"/>
              </w:rPr>
              <w:t>Wrong person</w:t>
            </w:r>
          </w:p>
        </w:tc>
        <w:tc>
          <w:tcPr>
            <w:tcW w:type="dxa" w:w="7704"/>
            <w:vAlign w:val="center"/>
            <w:shd w:fill="F4F7F9"/>
          </w:tcPr>
          <w:p>
            <w:pPr>
              <w:spacing w:after="20"/>
            </w:pPr>
            <w:r>
              <w:rPr>
                <w:rFonts w:ascii="Aptos" w:hAnsi="Aptos"/>
                <w:sz w:val="16"/>
              </w:rPr>
              <w:t>Identify or request the correct contact when policy allows.</w:t>
            </w:r>
          </w:p>
        </w:tc>
      </w:tr>
      <w:tr>
        <w:tc>
          <w:tcPr>
            <w:tcW w:type="dxa" w:w="2232"/>
            <w:vAlign w:val="center"/>
          </w:tcPr>
          <w:p>
            <w:pPr>
              <w:spacing w:after="20"/>
            </w:pPr>
            <w:r>
              <w:rPr>
                <w:rFonts w:ascii="Aptos" w:hAnsi="Aptos"/>
                <w:sz w:val="16"/>
              </w:rPr>
              <w:t>No reply</w:t>
            </w:r>
          </w:p>
        </w:tc>
        <w:tc>
          <w:tcPr>
            <w:tcW w:type="dxa" w:w="7704"/>
            <w:vAlign w:val="center"/>
          </w:tcPr>
          <w:p>
            <w:pPr>
              <w:spacing w:after="20"/>
            </w:pPr>
            <w:r>
              <w:rPr>
                <w:rFonts w:ascii="Aptos" w:hAnsi="Aptos"/>
                <w:sz w:val="16"/>
              </w:rPr>
              <w:t>Lifecycle agent evaluates whether a follow-up is eligible.</w:t>
            </w:r>
          </w:p>
        </w:tc>
      </w:tr>
    </w:tbl>
    <w:p>
      <w:pPr>
        <w:spacing w:after="0"/>
      </w:pPr>
    </w:p>
    <w:p>
      <w:r>
        <w:t>OAuth tokens remain on the backend, email content is treated as untrusted input, and sending is enforced as a backend approval-controlled action.</w:t>
      </w:r>
    </w:p>
    <w:p>
      <w:pPr>
        <w:pStyle w:val="Heading1"/>
        <w:pageBreakBefore/>
      </w:pPr>
      <w:r>
        <w:t>9. Lead Lifecycle / Next Action Agent</w:t>
      </w:r>
    </w:p>
    <w:p>
      <w:pPr>
        <w:pStyle w:val="Small"/>
      </w:pPr>
      <w:r>
        <w:rPr>
          <w:i/>
        </w:rPr>
        <w:t>The decision layer that connects all other agents</w:t>
      </w:r>
    </w:p>
    <w:p>
      <w:r>
        <w:t>The Lifecycle Agent answers three questions for every lead: where is the lead now, what just changed, and what should happen next? It maintains one current stage, interprets events, chooses the next action and applies guardrails before action dispatch.</w:t>
      </w:r>
    </w:p>
    <w:p>
      <w:pPr>
        <w:keepNext/>
        <w:spacing w:after="60" w:line="240" w:lineRule="auto"/>
        <w:jc w:val="center"/>
      </w:pPr>
      <w:r>
        <w:drawing>
          <wp:inline xmlns:a="http://schemas.openxmlformats.org/drawingml/2006/main" xmlns:pic="http://schemas.openxmlformats.org/drawingml/2006/picture">
            <wp:extent cx="6400800" cy="3326927"/>
            <wp:docPr id="2" name="Picture 2"/>
            <wp:cNvGraphicFramePr>
              <a:graphicFrameLocks noChangeAspect="1"/>
            </wp:cNvGraphicFramePr>
            <a:graphic>
              <a:graphicData uri="http://schemas.openxmlformats.org/drawingml/2006/picture">
                <pic:pic>
                  <pic:nvPicPr>
                    <pic:cNvPr id="0" name="lead_lifecycle_flow.png"/>
                    <pic:cNvPicPr/>
                  </pic:nvPicPr>
                  <pic:blipFill>
                    <a:blip r:embed="rId12"/>
                    <a:stretch>
                      <a:fillRect/>
                    </a:stretch>
                  </pic:blipFill>
                  <pic:spPr>
                    <a:xfrm>
                      <a:off x="0" y="0"/>
                      <a:ext cx="6400800" cy="3326927"/>
                    </a:xfrm>
                    <a:prstGeom prst="rect"/>
                  </pic:spPr>
                </pic:pic>
              </a:graphicData>
            </a:graphic>
          </wp:inline>
        </w:drawing>
      </w:r>
    </w:p>
    <w:p>
      <w:pPr>
        <w:jc w:val="center"/>
      </w:pPr>
      <w:r>
        <w:rPr>
          <w:i/>
          <w:sz w:val="16"/>
        </w:rPr>
        <w:t>Figure 2. Event-driven lifecycle decision loop.</w:t>
      </w:r>
    </w:p>
    <w:tbl>
      <w:tblPr>
        <w:tblStyle w:val="TableGrid"/>
        <w:tblW w:type="auto" w:w="0"/>
        <w:jc w:val="center"/>
        <w:tblLook w:firstColumn="1" w:firstRow="1" w:lastColumn="0" w:lastRow="0" w:noHBand="0" w:noVBand="1" w:val="04A0"/>
      </w:tblPr>
      <w:tblGrid>
        <w:gridCol w:w="5184"/>
        <w:gridCol w:w="5184"/>
      </w:tblGrid>
      <w:tr>
        <w:tc>
          <w:tcPr>
            <w:tcW w:type="dxa" w:w="2232"/>
            <w:vAlign w:val="center"/>
            <w:shd w:fill="163B5C"/>
          </w:tcPr>
          <w:p>
            <w:pPr>
              <w:spacing w:after="20"/>
            </w:pPr>
            <w:r>
              <w:rPr>
                <w:rFonts w:ascii="Aptos" w:hAnsi="Aptos"/>
                <w:b/>
                <w:color w:val="FFFFFF"/>
                <w:sz w:val="16"/>
              </w:rPr>
              <w:t>Decision input</w:t>
            </w:r>
          </w:p>
        </w:tc>
        <w:tc>
          <w:tcPr>
            <w:tcW w:type="dxa" w:w="7704"/>
            <w:vAlign w:val="center"/>
            <w:shd w:fill="163B5C"/>
          </w:tcPr>
          <w:p>
            <w:pPr>
              <w:spacing w:after="20"/>
            </w:pPr>
            <w:r>
              <w:rPr>
                <w:rFonts w:ascii="Aptos" w:hAnsi="Aptos"/>
                <w:b/>
                <w:color w:val="FFFFFF"/>
                <w:sz w:val="16"/>
              </w:rPr>
              <w:t>Examples</w:t>
            </w:r>
          </w:p>
        </w:tc>
      </w:tr>
      <w:tr>
        <w:tc>
          <w:tcPr>
            <w:tcW w:type="dxa" w:w="2232"/>
            <w:vAlign w:val="center"/>
          </w:tcPr>
          <w:p>
            <w:pPr>
              <w:spacing w:after="20"/>
            </w:pPr>
            <w:r>
              <w:rPr>
                <w:rFonts w:ascii="Aptos" w:hAnsi="Aptos"/>
                <w:sz w:val="16"/>
              </w:rPr>
              <w:t>Context</w:t>
            </w:r>
          </w:p>
        </w:tc>
        <w:tc>
          <w:tcPr>
            <w:tcW w:type="dxa" w:w="7704"/>
            <w:vAlign w:val="center"/>
          </w:tcPr>
          <w:p>
            <w:pPr>
              <w:spacing w:after="20"/>
            </w:pPr>
            <w:r>
              <w:rPr>
                <w:rFonts w:ascii="Aptos" w:hAnsi="Aptos"/>
                <w:sz w:val="16"/>
              </w:rPr>
              <w:t>Lead identity, company, research, campaign and knowledge.</w:t>
            </w:r>
          </w:p>
        </w:tc>
      </w:tr>
      <w:tr>
        <w:tc>
          <w:tcPr>
            <w:tcW w:type="dxa" w:w="2232"/>
            <w:vAlign w:val="center"/>
            <w:shd w:fill="F4F7F9"/>
          </w:tcPr>
          <w:p>
            <w:pPr>
              <w:spacing w:after="20"/>
            </w:pPr>
            <w:r>
              <w:rPr>
                <w:rFonts w:ascii="Aptos" w:hAnsi="Aptos"/>
                <w:sz w:val="16"/>
              </w:rPr>
              <w:t>Engagement</w:t>
            </w:r>
          </w:p>
        </w:tc>
        <w:tc>
          <w:tcPr>
            <w:tcW w:type="dxa" w:w="7704"/>
            <w:vAlign w:val="center"/>
            <w:shd w:fill="F4F7F9"/>
          </w:tcPr>
          <w:p>
            <w:pPr>
              <w:spacing w:after="20"/>
            </w:pPr>
            <w:r>
              <w:rPr>
                <w:rFonts w:ascii="Aptos" w:hAnsi="Aptos"/>
                <w:sz w:val="16"/>
              </w:rPr>
              <w:t>Replies, opens, clicks, meetings and recent activity.</w:t>
            </w:r>
          </w:p>
        </w:tc>
      </w:tr>
      <w:tr>
        <w:tc>
          <w:tcPr>
            <w:tcW w:type="dxa" w:w="2232"/>
            <w:vAlign w:val="center"/>
          </w:tcPr>
          <w:p>
            <w:pPr>
              <w:spacing w:after="20"/>
            </w:pPr>
            <w:r>
              <w:rPr>
                <w:rFonts w:ascii="Aptos" w:hAnsi="Aptos"/>
                <w:sz w:val="16"/>
              </w:rPr>
              <w:t>Time</w:t>
            </w:r>
          </w:p>
        </w:tc>
        <w:tc>
          <w:tcPr>
            <w:tcW w:type="dxa" w:w="7704"/>
            <w:vAlign w:val="center"/>
          </w:tcPr>
          <w:p>
            <w:pPr>
              <w:spacing w:after="20"/>
            </w:pPr>
            <w:r>
              <w:rPr>
                <w:rFonts w:ascii="Aptos" w:hAnsi="Aptos"/>
                <w:sz w:val="16"/>
              </w:rPr>
              <w:t>Time since last touch, scheduled timers, stalled-lead rules.</w:t>
            </w:r>
          </w:p>
        </w:tc>
      </w:tr>
      <w:tr>
        <w:tc>
          <w:tcPr>
            <w:tcW w:type="dxa" w:w="2232"/>
            <w:vAlign w:val="center"/>
            <w:shd w:fill="F4F7F9"/>
          </w:tcPr>
          <w:p>
            <w:pPr>
              <w:spacing w:after="20"/>
            </w:pPr>
            <w:r>
              <w:rPr>
                <w:rFonts w:ascii="Aptos" w:hAnsi="Aptos"/>
                <w:sz w:val="16"/>
              </w:rPr>
              <w:t>Decision methods</w:t>
            </w:r>
          </w:p>
        </w:tc>
        <w:tc>
          <w:tcPr>
            <w:tcW w:type="dxa" w:w="7704"/>
            <w:vAlign w:val="center"/>
            <w:shd w:fill="F4F7F9"/>
          </w:tcPr>
          <w:p>
            <w:pPr>
              <w:spacing w:after="20"/>
            </w:pPr>
            <w:r>
              <w:rPr>
                <w:rFonts w:ascii="Aptos" w:hAnsi="Aptos"/>
                <w:sz w:val="16"/>
              </w:rPr>
              <w:t>Playbook rules, scoring, LLM reasoning and confidence.</w:t>
            </w:r>
          </w:p>
        </w:tc>
      </w:tr>
      <w:tr>
        <w:tc>
          <w:tcPr>
            <w:tcW w:type="dxa" w:w="2232"/>
            <w:vAlign w:val="center"/>
          </w:tcPr>
          <w:p>
            <w:pPr>
              <w:spacing w:after="20"/>
            </w:pPr>
            <w:r>
              <w:rPr>
                <w:rFonts w:ascii="Aptos" w:hAnsi="Aptos"/>
                <w:sz w:val="16"/>
              </w:rPr>
              <w:t>Guardrails</w:t>
            </w:r>
          </w:p>
        </w:tc>
        <w:tc>
          <w:tcPr>
            <w:tcW w:type="dxa" w:w="7704"/>
            <w:vAlign w:val="center"/>
          </w:tcPr>
          <w:p>
            <w:pPr>
              <w:spacing w:after="20"/>
            </w:pPr>
            <w:r>
              <w:rPr>
                <w:rFonts w:ascii="Aptos" w:hAnsi="Aptos"/>
                <w:sz w:val="16"/>
              </w:rPr>
              <w:t>Do-not-contact, consent, frequency caps, compliance and approval.</w:t>
            </w:r>
          </w:p>
        </w:tc>
      </w:tr>
      <w:tr>
        <w:tc>
          <w:tcPr>
            <w:tcW w:type="dxa" w:w="2232"/>
            <w:vAlign w:val="center"/>
            <w:shd w:fill="F4F7F9"/>
          </w:tcPr>
          <w:p>
            <w:pPr>
              <w:spacing w:after="20"/>
            </w:pPr>
            <w:r>
              <w:rPr>
                <w:rFonts w:ascii="Aptos" w:hAnsi="Aptos"/>
                <w:sz w:val="16"/>
              </w:rPr>
              <w:t>Output</w:t>
            </w:r>
          </w:p>
        </w:tc>
        <w:tc>
          <w:tcPr>
            <w:tcW w:type="dxa" w:w="7704"/>
            <w:vAlign w:val="center"/>
            <w:shd w:fill="F4F7F9"/>
          </w:tcPr>
          <w:p>
            <w:pPr>
              <w:spacing w:after="20"/>
            </w:pPr>
            <w:r>
              <w:rPr>
                <w:rFonts w:ascii="Aptos" w:hAnsi="Aptos"/>
                <w:sz w:val="16"/>
              </w:rPr>
              <w:t>Action, channel, timing, owner, reason and evidence.</w:t>
            </w:r>
          </w:p>
        </w:tc>
      </w:tr>
    </w:tbl>
    <w:p>
      <w:pPr>
        <w:spacing w:after="0"/>
      </w:pPr>
    </w:p>
    <w:p>
      <w:pPr>
        <w:pStyle w:val="Heading1"/>
        <w:pageBreakBefore/>
      </w:pPr>
      <w:r>
        <w:t>10. Agent-to-Agent Interaction and Handoffs</w:t>
      </w:r>
    </w:p>
    <w:p>
      <w:pPr>
        <w:pStyle w:val="Small"/>
      </w:pPr>
      <w:r>
        <w:rPr>
          <w:i/>
        </w:rPr>
        <w:t>How the specialists work together without becoming one large agent</w:t>
      </w:r>
    </w:p>
    <w:p>
      <w:pPr>
        <w:keepNext/>
        <w:spacing w:after="60" w:line="240" w:lineRule="auto"/>
        <w:jc w:val="center"/>
      </w:pPr>
      <w:r>
        <w:drawing>
          <wp:inline xmlns:a="http://schemas.openxmlformats.org/drawingml/2006/main" xmlns:pic="http://schemas.openxmlformats.org/drawingml/2006/picture">
            <wp:extent cx="6400800" cy="4224528"/>
            <wp:docPr id="3" name="Picture 3"/>
            <wp:cNvGraphicFramePr>
              <a:graphicFrameLocks noChangeAspect="1"/>
            </wp:cNvGraphicFramePr>
            <a:graphic>
              <a:graphicData uri="http://schemas.openxmlformats.org/drawingml/2006/picture">
                <pic:pic>
                  <pic:nvPicPr>
                    <pic:cNvPr id="0" name="agent_interaction_map.png"/>
                    <pic:cNvPicPr/>
                  </pic:nvPicPr>
                  <pic:blipFill>
                    <a:blip r:embed="rId13"/>
                    <a:stretch>
                      <a:fillRect/>
                    </a:stretch>
                  </pic:blipFill>
                  <pic:spPr>
                    <a:xfrm>
                      <a:off x="0" y="0"/>
                      <a:ext cx="6400800" cy="4224528"/>
                    </a:xfrm>
                    <a:prstGeom prst="rect"/>
                  </pic:spPr>
                </pic:pic>
              </a:graphicData>
            </a:graphic>
          </wp:inline>
        </w:drawing>
      </w:r>
    </w:p>
    <w:p>
      <w:pPr>
        <w:jc w:val="center"/>
      </w:pPr>
      <w:r>
        <w:rPr>
          <w:i/>
          <w:sz w:val="16"/>
        </w:rPr>
        <w:t>Figure 3. Specialist interaction map. The arrows represent routed work and shared context, while the event layer keeps the system state current.</w:t>
      </w:r>
    </w:p>
    <w:p>
      <w:pPr>
        <w:pStyle w:val="Heading2"/>
      </w:pPr>
      <w:r>
        <w:t>Typical end-to-end lead journey</w:t>
      </w:r>
    </w:p>
    <w:p>
      <w:pPr>
        <w:pStyle w:val="ListNumber"/>
        <w:numPr>
          <w:ilvl w:val="0"/>
          <w:numId w:val="11"/>
        </w:numPr>
        <w:spacing w:after="40"/>
      </w:pPr>
      <w:r>
        <w:t>New lead enters CRM or campaign segment.</w:t>
      </w:r>
    </w:p>
    <w:p>
      <w:pPr>
        <w:pStyle w:val="ListNumber"/>
        <w:numPr>
          <w:ilvl w:val="0"/>
          <w:numId w:val="11"/>
        </w:numPr>
        <w:spacing w:after="40"/>
      </w:pPr>
      <w:r>
        <w:t>Lifecycle requests context and research when information is thin.</w:t>
      </w:r>
    </w:p>
    <w:p>
      <w:pPr>
        <w:pStyle w:val="ListNumber"/>
        <w:numPr>
          <w:ilvl w:val="0"/>
          <w:numId w:val="11"/>
        </w:numPr>
        <w:spacing w:after="40"/>
      </w:pPr>
      <w:r>
        <w:t>Lead Research creates an evidence-backed research package.</w:t>
      </w:r>
    </w:p>
    <w:p>
      <w:pPr>
        <w:pStyle w:val="ListNumber"/>
        <w:numPr>
          <w:ilvl w:val="0"/>
          <w:numId w:val="11"/>
        </w:numPr>
        <w:spacing w:after="40"/>
      </w:pPr>
      <w:r>
        <w:t>Lifecycle evaluates the lead and requests Campaign Content or Outreach work.</w:t>
      </w:r>
    </w:p>
    <w:p>
      <w:pPr>
        <w:pStyle w:val="ListNumber"/>
        <w:numPr>
          <w:ilvl w:val="0"/>
          <w:numId w:val="11"/>
        </w:numPr>
        <w:spacing w:after="40"/>
      </w:pPr>
      <w:r>
        <w:t>Campaign Content creates approved messaging; Outreach executes approved touches.</w:t>
      </w:r>
    </w:p>
    <w:p>
      <w:pPr>
        <w:pStyle w:val="ListNumber"/>
        <w:numPr>
          <w:ilvl w:val="0"/>
          <w:numId w:val="11"/>
        </w:numPr>
        <w:spacing w:after="40"/>
      </w:pPr>
      <w:r>
        <w:t>Outreach events and inbox replies are written to shared state.</w:t>
      </w:r>
    </w:p>
    <w:p>
      <w:pPr>
        <w:pStyle w:val="ListNumber"/>
        <w:numPr>
          <w:ilvl w:val="0"/>
          <w:numId w:val="11"/>
        </w:numPr>
        <w:spacing w:after="40"/>
      </w:pPr>
      <w:r>
        <w:t>Inbox classifies replies and creates a draft or human handoff when needed.</w:t>
      </w:r>
    </w:p>
    <w:p>
      <w:pPr>
        <w:pStyle w:val="ListNumber"/>
        <w:numPr>
          <w:ilvl w:val="0"/>
          <w:numId w:val="11"/>
        </w:numPr>
        <w:spacing w:after="40"/>
      </w:pPr>
      <w:r>
        <w:t>Lifecycle reads the new event and chooses the next action.</w:t>
      </w:r>
    </w:p>
    <w:p>
      <w:pPr>
        <w:pStyle w:val="ListNumber"/>
        <w:numPr>
          <w:ilvl w:val="0"/>
          <w:numId w:val="11"/>
        </w:numPr>
        <w:spacing w:after="40"/>
      </w:pPr>
      <w:r>
        <w:t>Knowledge-Based Agent updates the shared record with new evidence, interaction history and human corrections.</w:t>
      </w:r>
    </w:p>
    <w:p>
      <w:pPr>
        <w:pStyle w:val="ListNumber"/>
        <w:numPr>
          <w:ilvl w:val="0"/>
          <w:numId w:val="11"/>
        </w:numPr>
        <w:spacing w:after="40"/>
      </w:pPr>
      <w:r>
        <w:t>The loop continues until the lead reaches a terminal state such as qualified, converted, lost or suppressed.</w:t>
      </w:r>
    </w:p>
    <w:p>
      <w:pPr>
        <w:pStyle w:val="Heading1"/>
        <w:pageBreakBefore/>
      </w:pPr>
      <w:r>
        <w:t>11. Data, State and Event Model</w:t>
      </w:r>
    </w:p>
    <w:p>
      <w:pPr>
        <w:pStyle w:val="Small"/>
      </w:pPr>
      <w:r>
        <w:rPr>
          <w:i/>
        </w:rPr>
        <w:t>The shared data contract that keeps the agents synchronized</w:t>
      </w:r>
    </w:p>
    <w:p>
      <w:r>
        <w:t>A centralized platform needs one reliable representation of the lead and its history. The individual agents can own specialist outputs, but they should not create separate competing lifecycle records.</w:t>
      </w:r>
    </w:p>
    <w:tbl>
      <w:tblPr>
        <w:tblStyle w:val="TableGrid"/>
        <w:tblW w:type="auto" w:w="0"/>
        <w:jc w:val="center"/>
        <w:tblLook w:firstColumn="1" w:firstRow="1" w:lastColumn="0" w:lastRow="0" w:noHBand="0" w:noVBand="1" w:val="04A0"/>
      </w:tblPr>
      <w:tblGrid>
        <w:gridCol w:w="5184"/>
        <w:gridCol w:w="5184"/>
      </w:tblGrid>
      <w:tr>
        <w:tc>
          <w:tcPr>
            <w:tcW w:type="dxa" w:w="2376"/>
            <w:vAlign w:val="center"/>
            <w:shd w:fill="163B5C"/>
          </w:tcPr>
          <w:p>
            <w:pPr>
              <w:spacing w:after="20"/>
            </w:pPr>
            <w:r>
              <w:rPr>
                <w:rFonts w:ascii="Aptos" w:hAnsi="Aptos"/>
                <w:b/>
                <w:color w:val="FFFFFF"/>
                <w:sz w:val="15"/>
              </w:rPr>
              <w:t>Core object</w:t>
            </w:r>
          </w:p>
        </w:tc>
        <w:tc>
          <w:tcPr>
            <w:tcW w:type="dxa" w:w="7560"/>
            <w:vAlign w:val="center"/>
            <w:shd w:fill="163B5C"/>
          </w:tcPr>
          <w:p>
            <w:pPr>
              <w:spacing w:after="20"/>
            </w:pPr>
            <w:r>
              <w:rPr>
                <w:rFonts w:ascii="Aptos" w:hAnsi="Aptos"/>
                <w:b/>
                <w:color w:val="FFFFFF"/>
                <w:sz w:val="15"/>
              </w:rPr>
              <w:t>Key fields / purpose</w:t>
            </w:r>
          </w:p>
        </w:tc>
      </w:tr>
      <w:tr>
        <w:tc>
          <w:tcPr>
            <w:tcW w:type="dxa" w:w="2376"/>
            <w:vAlign w:val="center"/>
          </w:tcPr>
          <w:p>
            <w:pPr>
              <w:spacing w:after="20"/>
            </w:pPr>
            <w:r>
              <w:rPr>
                <w:rFonts w:ascii="Aptos" w:hAnsi="Aptos"/>
                <w:sz w:val="15"/>
              </w:rPr>
              <w:t>Lead</w:t>
            </w:r>
          </w:p>
        </w:tc>
        <w:tc>
          <w:tcPr>
            <w:tcW w:type="dxa" w:w="7560"/>
            <w:vAlign w:val="center"/>
          </w:tcPr>
          <w:p>
            <w:pPr>
              <w:spacing w:after="20"/>
            </w:pPr>
            <w:r>
              <w:rPr>
                <w:rFonts w:ascii="Aptos" w:hAnsi="Aptos"/>
                <w:sz w:val="15"/>
              </w:rPr>
              <w:t>Identity, contact, company, source, lifecycle stage, owner, consent/suppression.</w:t>
            </w:r>
          </w:p>
        </w:tc>
      </w:tr>
      <w:tr>
        <w:tc>
          <w:tcPr>
            <w:tcW w:type="dxa" w:w="2376"/>
            <w:vAlign w:val="center"/>
            <w:shd w:fill="F4F7F9"/>
          </w:tcPr>
          <w:p>
            <w:pPr>
              <w:spacing w:after="20"/>
            </w:pPr>
            <w:r>
              <w:rPr>
                <w:rFonts w:ascii="Aptos" w:hAnsi="Aptos"/>
                <w:sz w:val="15"/>
              </w:rPr>
              <w:t>Company</w:t>
            </w:r>
          </w:p>
        </w:tc>
        <w:tc>
          <w:tcPr>
            <w:tcW w:type="dxa" w:w="7560"/>
            <w:vAlign w:val="center"/>
            <w:shd w:fill="F4F7F9"/>
          </w:tcPr>
          <w:p>
            <w:pPr>
              <w:spacing w:after="20"/>
            </w:pPr>
            <w:r>
              <w:rPr>
                <w:rFonts w:ascii="Aptos" w:hAnsi="Aptos"/>
                <w:sz w:val="15"/>
              </w:rPr>
              <w:t>Domain, industry, size, location, technology, business signals.</w:t>
            </w:r>
          </w:p>
        </w:tc>
      </w:tr>
      <w:tr>
        <w:tc>
          <w:tcPr>
            <w:tcW w:type="dxa" w:w="2376"/>
            <w:vAlign w:val="center"/>
          </w:tcPr>
          <w:p>
            <w:pPr>
              <w:spacing w:after="20"/>
            </w:pPr>
            <w:r>
              <w:rPr>
                <w:rFonts w:ascii="Aptos" w:hAnsi="Aptos"/>
                <w:sz w:val="15"/>
              </w:rPr>
              <w:t>ResearchPackage</w:t>
            </w:r>
          </w:p>
        </w:tc>
        <w:tc>
          <w:tcPr>
            <w:tcW w:type="dxa" w:w="7560"/>
            <w:vAlign w:val="center"/>
          </w:tcPr>
          <w:p>
            <w:pPr>
              <w:spacing w:after="20"/>
            </w:pPr>
            <w:r>
              <w:rPr>
                <w:rFonts w:ascii="Aptos" w:hAnsi="Aptos"/>
                <w:sz w:val="15"/>
              </w:rPr>
              <w:t>Verified facts, signals, score, evidence, confidence, research timestamp.</w:t>
            </w:r>
          </w:p>
        </w:tc>
      </w:tr>
      <w:tr>
        <w:tc>
          <w:tcPr>
            <w:tcW w:type="dxa" w:w="2376"/>
            <w:vAlign w:val="center"/>
            <w:shd w:fill="F4F7F9"/>
          </w:tcPr>
          <w:p>
            <w:pPr>
              <w:spacing w:after="20"/>
            </w:pPr>
            <w:r>
              <w:rPr>
                <w:rFonts w:ascii="Aptos" w:hAnsi="Aptos"/>
                <w:sz w:val="15"/>
              </w:rPr>
              <w:t>Campaign</w:t>
            </w:r>
          </w:p>
        </w:tc>
        <w:tc>
          <w:tcPr>
            <w:tcW w:type="dxa" w:w="7560"/>
            <w:vAlign w:val="center"/>
            <w:shd w:fill="F4F7F9"/>
          </w:tcPr>
          <w:p>
            <w:pPr>
              <w:spacing w:after="20"/>
            </w:pPr>
            <w:r>
              <w:rPr>
                <w:rFonts w:ascii="Aptos" w:hAnsi="Aptos"/>
                <w:sz w:val="15"/>
              </w:rPr>
              <w:t>Goal, audience, channels, offer, schedule, budget, constraints.</w:t>
            </w:r>
          </w:p>
        </w:tc>
      </w:tr>
      <w:tr>
        <w:tc>
          <w:tcPr>
            <w:tcW w:type="dxa" w:w="2376"/>
            <w:vAlign w:val="center"/>
          </w:tcPr>
          <w:p>
            <w:pPr>
              <w:spacing w:after="20"/>
            </w:pPr>
            <w:r>
              <w:rPr>
                <w:rFonts w:ascii="Aptos" w:hAnsi="Aptos"/>
                <w:sz w:val="15"/>
              </w:rPr>
              <w:t>ContentAsset</w:t>
            </w:r>
          </w:p>
        </w:tc>
        <w:tc>
          <w:tcPr>
            <w:tcW w:type="dxa" w:w="7560"/>
            <w:vAlign w:val="center"/>
          </w:tcPr>
          <w:p>
            <w:pPr>
              <w:spacing w:after="20"/>
            </w:pPr>
            <w:r>
              <w:rPr>
                <w:rFonts w:ascii="Aptos" w:hAnsi="Aptos"/>
                <w:sz w:val="15"/>
              </w:rPr>
              <w:t>Channel, version, status, evidence, checks, reviewer, publish time.</w:t>
            </w:r>
          </w:p>
        </w:tc>
      </w:tr>
      <w:tr>
        <w:tc>
          <w:tcPr>
            <w:tcW w:type="dxa" w:w="2376"/>
            <w:vAlign w:val="center"/>
            <w:shd w:fill="F4F7F9"/>
          </w:tcPr>
          <w:p>
            <w:pPr>
              <w:spacing w:after="20"/>
            </w:pPr>
            <w:r>
              <w:rPr>
                <w:rFonts w:ascii="Aptos" w:hAnsi="Aptos"/>
                <w:sz w:val="15"/>
              </w:rPr>
              <w:t>OutreachEvent</w:t>
            </w:r>
          </w:p>
        </w:tc>
        <w:tc>
          <w:tcPr>
            <w:tcW w:type="dxa" w:w="7560"/>
            <w:vAlign w:val="center"/>
            <w:shd w:fill="F4F7F9"/>
          </w:tcPr>
          <w:p>
            <w:pPr>
              <w:spacing w:after="20"/>
            </w:pPr>
            <w:r>
              <w:rPr>
                <w:rFonts w:ascii="Aptos" w:hAnsi="Aptos"/>
                <w:sz w:val="15"/>
              </w:rPr>
              <w:t>Channel, timestamp, content version, status, provider event ID.</w:t>
            </w:r>
          </w:p>
        </w:tc>
      </w:tr>
      <w:tr>
        <w:tc>
          <w:tcPr>
            <w:tcW w:type="dxa" w:w="2376"/>
            <w:vAlign w:val="center"/>
          </w:tcPr>
          <w:p>
            <w:pPr>
              <w:spacing w:after="20"/>
            </w:pPr>
            <w:r>
              <w:rPr>
                <w:rFonts w:ascii="Aptos" w:hAnsi="Aptos"/>
                <w:sz w:val="15"/>
              </w:rPr>
              <w:t>Conversation</w:t>
            </w:r>
          </w:p>
        </w:tc>
        <w:tc>
          <w:tcPr>
            <w:tcW w:type="dxa" w:w="7560"/>
            <w:vAlign w:val="center"/>
          </w:tcPr>
          <w:p>
            <w:pPr>
              <w:spacing w:after="20"/>
            </w:pPr>
            <w:r>
              <w:rPr>
                <w:rFonts w:ascii="Aptos" w:hAnsi="Aptos"/>
                <w:sz w:val="15"/>
              </w:rPr>
              <w:t>Thread, participants, messages, intent, sentiment, open requests, handoff.</w:t>
            </w:r>
          </w:p>
        </w:tc>
      </w:tr>
      <w:tr>
        <w:tc>
          <w:tcPr>
            <w:tcW w:type="dxa" w:w="2376"/>
            <w:vAlign w:val="center"/>
            <w:shd w:fill="F4F7F9"/>
          </w:tcPr>
          <w:p>
            <w:pPr>
              <w:spacing w:after="20"/>
            </w:pPr>
            <w:r>
              <w:rPr>
                <w:rFonts w:ascii="Aptos" w:hAnsi="Aptos"/>
                <w:sz w:val="15"/>
              </w:rPr>
              <w:t>NextActionDecision</w:t>
            </w:r>
          </w:p>
        </w:tc>
        <w:tc>
          <w:tcPr>
            <w:tcW w:type="dxa" w:w="7560"/>
            <w:vAlign w:val="center"/>
            <w:shd w:fill="F4F7F9"/>
          </w:tcPr>
          <w:p>
            <w:pPr>
              <w:spacing w:after="20"/>
            </w:pPr>
            <w:r>
              <w:rPr>
                <w:rFonts w:ascii="Aptos" w:hAnsi="Aptos"/>
                <w:sz w:val="15"/>
              </w:rPr>
              <w:t>Action, channel, timing, owner, reason, evidence, confidence, rule version.</w:t>
            </w:r>
          </w:p>
        </w:tc>
      </w:tr>
      <w:tr>
        <w:tc>
          <w:tcPr>
            <w:tcW w:type="dxa" w:w="2376"/>
            <w:vAlign w:val="center"/>
          </w:tcPr>
          <w:p>
            <w:pPr>
              <w:spacing w:after="20"/>
            </w:pPr>
            <w:r>
              <w:rPr>
                <w:rFonts w:ascii="Aptos" w:hAnsi="Aptos"/>
                <w:sz w:val="15"/>
              </w:rPr>
              <w:t>KnowledgeItem</w:t>
            </w:r>
          </w:p>
        </w:tc>
        <w:tc>
          <w:tcPr>
            <w:tcW w:type="dxa" w:w="7560"/>
            <w:vAlign w:val="center"/>
          </w:tcPr>
          <w:p>
            <w:pPr>
              <w:spacing w:after="20"/>
            </w:pPr>
            <w:r>
              <w:rPr>
                <w:rFonts w:ascii="Aptos" w:hAnsi="Aptos"/>
                <w:sz w:val="15"/>
              </w:rPr>
              <w:t>Claim, source, timestamp, provenance, permissions, confidence, freshness.</w:t>
            </w:r>
          </w:p>
        </w:tc>
      </w:tr>
      <w:tr>
        <w:tc>
          <w:tcPr>
            <w:tcW w:type="dxa" w:w="2376"/>
            <w:vAlign w:val="center"/>
            <w:shd w:fill="F4F7F9"/>
          </w:tcPr>
          <w:p>
            <w:pPr>
              <w:spacing w:after="20"/>
            </w:pPr>
            <w:r>
              <w:rPr>
                <w:rFonts w:ascii="Aptos" w:hAnsi="Aptos"/>
                <w:sz w:val="15"/>
              </w:rPr>
              <w:t>AuditEvent</w:t>
            </w:r>
          </w:p>
        </w:tc>
        <w:tc>
          <w:tcPr>
            <w:tcW w:type="dxa" w:w="7560"/>
            <w:vAlign w:val="center"/>
            <w:shd w:fill="F4F7F9"/>
          </w:tcPr>
          <w:p>
            <w:pPr>
              <w:spacing w:after="20"/>
            </w:pPr>
            <w:r>
              <w:rPr>
                <w:rFonts w:ascii="Aptos" w:hAnsi="Aptos"/>
                <w:sz w:val="15"/>
              </w:rPr>
              <w:t>Actor, tool, action, inputs/outputs metadata, approval and result.</w:t>
            </w:r>
          </w:p>
        </w:tc>
      </w:tr>
    </w:tbl>
    <w:p>
      <w:pPr>
        <w:spacing w:after="0"/>
      </w:pPr>
    </w:p>
    <w:p>
      <w:pPr>
        <w:pStyle w:val="Heading2"/>
      </w:pPr>
      <w:r>
        <w:t>Event-driven pattern</w:t>
      </w:r>
    </w:p>
    <w:p>
      <w:r>
        <w:t>Examples of events include LeadCreated, ResearchCompleted, OutreachSent, EmailReceived, ReplyClassified, MeetingBooked, HumanApproved, ContentPublished and LeadStageChanged. Each event should be idempotent so retries do not create duplicate state changes.</w:t>
      </w:r>
    </w:p>
    <w:p>
      <w:pPr>
        <w:pStyle w:val="Heading1"/>
      </w:pPr>
      <w:r>
        <w:t>12. Security, Governance and Reliability</w:t>
      </w:r>
    </w:p>
    <w:p>
      <w:pPr>
        <w:pStyle w:val="Small"/>
      </w:pPr>
      <w:r>
        <w:rPr>
          <w:i/>
        </w:rPr>
        <w:t>Safety is a platform feature, not a prompt instruction</w:t>
      </w:r>
    </w:p>
    <w:tbl>
      <w:tblPr>
        <w:tblStyle w:val="TableGrid"/>
        <w:tblW w:type="auto" w:w="0"/>
        <w:jc w:val="center"/>
        <w:tblLook w:firstColumn="1" w:firstRow="1" w:lastColumn="0" w:lastRow="0" w:noHBand="0" w:noVBand="1" w:val="04A0"/>
      </w:tblPr>
      <w:tblGrid>
        <w:gridCol w:w="5184"/>
        <w:gridCol w:w="5184"/>
      </w:tblGrid>
      <w:tr>
        <w:tc>
          <w:tcPr>
            <w:tcW w:type="dxa" w:w="2232"/>
            <w:vAlign w:val="center"/>
            <w:shd w:fill="163B5C"/>
          </w:tcPr>
          <w:p>
            <w:pPr>
              <w:spacing w:after="20"/>
            </w:pPr>
            <w:r>
              <w:rPr>
                <w:rFonts w:ascii="Aptos" w:hAnsi="Aptos"/>
                <w:b/>
                <w:color w:val="FFFFFF"/>
                <w:sz w:val="15"/>
              </w:rPr>
              <w:t>Control</w:t>
            </w:r>
          </w:p>
        </w:tc>
        <w:tc>
          <w:tcPr>
            <w:tcW w:type="dxa" w:w="7704"/>
            <w:vAlign w:val="center"/>
            <w:shd w:fill="163B5C"/>
          </w:tcPr>
          <w:p>
            <w:pPr>
              <w:spacing w:after="20"/>
            </w:pPr>
            <w:r>
              <w:rPr>
                <w:rFonts w:ascii="Aptos" w:hAnsi="Aptos"/>
                <w:b/>
                <w:color w:val="FFFFFF"/>
                <w:sz w:val="15"/>
              </w:rPr>
              <w:t>Implementation direction</w:t>
            </w:r>
          </w:p>
        </w:tc>
      </w:tr>
      <w:tr>
        <w:tc>
          <w:tcPr>
            <w:tcW w:type="dxa" w:w="2232"/>
            <w:vAlign w:val="center"/>
          </w:tcPr>
          <w:p>
            <w:pPr>
              <w:spacing w:after="20"/>
            </w:pPr>
            <w:r>
              <w:rPr>
                <w:rFonts w:ascii="Aptos" w:hAnsi="Aptos"/>
                <w:sz w:val="15"/>
              </w:rPr>
              <w:t>Least privilege</w:t>
            </w:r>
          </w:p>
        </w:tc>
        <w:tc>
          <w:tcPr>
            <w:tcW w:type="dxa" w:w="7704"/>
            <w:vAlign w:val="center"/>
          </w:tcPr>
          <w:p>
            <w:pPr>
              <w:spacing w:after="20"/>
            </w:pPr>
            <w:r>
              <w:rPr>
                <w:rFonts w:ascii="Aptos" w:hAnsi="Aptos"/>
                <w:sz w:val="15"/>
              </w:rPr>
              <w:t>Give each agent only the tools and scopes required for its job.</w:t>
            </w:r>
          </w:p>
        </w:tc>
      </w:tr>
      <w:tr>
        <w:tc>
          <w:tcPr>
            <w:tcW w:type="dxa" w:w="2232"/>
            <w:vAlign w:val="center"/>
            <w:shd w:fill="F4F7F9"/>
          </w:tcPr>
          <w:p>
            <w:pPr>
              <w:spacing w:after="20"/>
            </w:pPr>
            <w:r>
              <w:rPr>
                <w:rFonts w:ascii="Aptos" w:hAnsi="Aptos"/>
                <w:sz w:val="15"/>
              </w:rPr>
              <w:t>Human approval</w:t>
            </w:r>
          </w:p>
        </w:tc>
        <w:tc>
          <w:tcPr>
            <w:tcW w:type="dxa" w:w="7704"/>
            <w:vAlign w:val="center"/>
            <w:shd w:fill="F4F7F9"/>
          </w:tcPr>
          <w:p>
            <w:pPr>
              <w:spacing w:after="20"/>
            </w:pPr>
            <w:r>
              <w:rPr>
                <w:rFonts w:ascii="Aptos" w:hAnsi="Aptos"/>
                <w:sz w:val="15"/>
              </w:rPr>
              <w:t>Require approval for sending, publishing, high-impact decisions and sensitive cases.</w:t>
            </w:r>
          </w:p>
        </w:tc>
      </w:tr>
      <w:tr>
        <w:tc>
          <w:tcPr>
            <w:tcW w:type="dxa" w:w="2232"/>
            <w:vAlign w:val="center"/>
          </w:tcPr>
          <w:p>
            <w:pPr>
              <w:spacing w:after="20"/>
            </w:pPr>
            <w:r>
              <w:rPr>
                <w:rFonts w:ascii="Aptos" w:hAnsi="Aptos"/>
                <w:sz w:val="15"/>
              </w:rPr>
              <w:t>Suppression</w:t>
            </w:r>
          </w:p>
        </w:tc>
        <w:tc>
          <w:tcPr>
            <w:tcW w:type="dxa" w:w="7704"/>
            <w:vAlign w:val="center"/>
          </w:tcPr>
          <w:p>
            <w:pPr>
              <w:spacing w:after="20"/>
            </w:pPr>
            <w:r>
              <w:rPr>
                <w:rFonts w:ascii="Aptos" w:hAnsi="Aptos"/>
                <w:sz w:val="15"/>
              </w:rPr>
              <w:t>Check do-not-contact, consent and frequency limits before outreach.</w:t>
            </w:r>
          </w:p>
        </w:tc>
      </w:tr>
      <w:tr>
        <w:tc>
          <w:tcPr>
            <w:tcW w:type="dxa" w:w="2232"/>
            <w:vAlign w:val="center"/>
            <w:shd w:fill="F4F7F9"/>
          </w:tcPr>
          <w:p>
            <w:pPr>
              <w:spacing w:after="20"/>
            </w:pPr>
            <w:r>
              <w:rPr>
                <w:rFonts w:ascii="Aptos" w:hAnsi="Aptos"/>
                <w:sz w:val="15"/>
              </w:rPr>
              <w:t>Evidence</w:t>
            </w:r>
          </w:p>
        </w:tc>
        <w:tc>
          <w:tcPr>
            <w:tcW w:type="dxa" w:w="7704"/>
            <w:vAlign w:val="center"/>
            <w:shd w:fill="F4F7F9"/>
          </w:tcPr>
          <w:p>
            <w:pPr>
              <w:spacing w:after="20"/>
            </w:pPr>
            <w:r>
              <w:rPr>
                <w:rFonts w:ascii="Aptos" w:hAnsi="Aptos"/>
                <w:sz w:val="15"/>
              </w:rPr>
              <w:t>Require sources and confidence for important factual claims.</w:t>
            </w:r>
          </w:p>
        </w:tc>
      </w:tr>
      <w:tr>
        <w:tc>
          <w:tcPr>
            <w:tcW w:type="dxa" w:w="2232"/>
            <w:vAlign w:val="center"/>
          </w:tcPr>
          <w:p>
            <w:pPr>
              <w:spacing w:after="20"/>
            </w:pPr>
            <w:r>
              <w:rPr>
                <w:rFonts w:ascii="Aptos" w:hAnsi="Aptos"/>
                <w:sz w:val="15"/>
              </w:rPr>
              <w:t>Injection defence</w:t>
            </w:r>
          </w:p>
        </w:tc>
        <w:tc>
          <w:tcPr>
            <w:tcW w:type="dxa" w:w="7704"/>
            <w:vAlign w:val="center"/>
          </w:tcPr>
          <w:p>
            <w:pPr>
              <w:spacing w:after="20"/>
            </w:pPr>
            <w:r>
              <w:rPr>
                <w:rFonts w:ascii="Aptos" w:hAnsi="Aptos"/>
                <w:sz w:val="15"/>
              </w:rPr>
              <w:t>Treat email, web pages and external documents as untrusted input.</w:t>
            </w:r>
          </w:p>
        </w:tc>
      </w:tr>
      <w:tr>
        <w:tc>
          <w:tcPr>
            <w:tcW w:type="dxa" w:w="2232"/>
            <w:vAlign w:val="center"/>
            <w:shd w:fill="F4F7F9"/>
          </w:tcPr>
          <w:p>
            <w:pPr>
              <w:spacing w:after="20"/>
            </w:pPr>
            <w:r>
              <w:rPr>
                <w:rFonts w:ascii="Aptos" w:hAnsi="Aptos"/>
                <w:sz w:val="15"/>
              </w:rPr>
              <w:t>Secrets</w:t>
            </w:r>
          </w:p>
        </w:tc>
        <w:tc>
          <w:tcPr>
            <w:tcW w:type="dxa" w:w="7704"/>
            <w:vAlign w:val="center"/>
            <w:shd w:fill="F4F7F9"/>
          </w:tcPr>
          <w:p>
            <w:pPr>
              <w:spacing w:after="20"/>
            </w:pPr>
            <w:r>
              <w:rPr>
                <w:rFonts w:ascii="Aptos" w:hAnsi="Aptos"/>
                <w:sz w:val="15"/>
              </w:rPr>
              <w:t>Keep API keys and OAuth tokens on the backend, encrypted and out of the browser.</w:t>
            </w:r>
          </w:p>
        </w:tc>
      </w:tr>
      <w:tr>
        <w:tc>
          <w:tcPr>
            <w:tcW w:type="dxa" w:w="2232"/>
            <w:vAlign w:val="center"/>
          </w:tcPr>
          <w:p>
            <w:pPr>
              <w:spacing w:after="20"/>
            </w:pPr>
            <w:r>
              <w:rPr>
                <w:rFonts w:ascii="Aptos" w:hAnsi="Aptos"/>
                <w:sz w:val="15"/>
              </w:rPr>
              <w:t>Audit</w:t>
            </w:r>
          </w:p>
        </w:tc>
        <w:tc>
          <w:tcPr>
            <w:tcW w:type="dxa" w:w="7704"/>
            <w:vAlign w:val="center"/>
          </w:tcPr>
          <w:p>
            <w:pPr>
              <w:spacing w:after="20"/>
            </w:pPr>
            <w:r>
              <w:rPr>
                <w:rFonts w:ascii="Aptos" w:hAnsi="Aptos"/>
                <w:sz w:val="15"/>
              </w:rPr>
              <w:t>Record important research, tool calls, decisions, approvals and external actions.</w:t>
            </w:r>
          </w:p>
        </w:tc>
      </w:tr>
      <w:tr>
        <w:tc>
          <w:tcPr>
            <w:tcW w:type="dxa" w:w="2232"/>
            <w:vAlign w:val="center"/>
            <w:shd w:fill="F4F7F9"/>
          </w:tcPr>
          <w:p>
            <w:pPr>
              <w:spacing w:after="20"/>
            </w:pPr>
            <w:r>
              <w:rPr>
                <w:rFonts w:ascii="Aptos" w:hAnsi="Aptos"/>
                <w:sz w:val="15"/>
              </w:rPr>
              <w:t>Versioning</w:t>
            </w:r>
          </w:p>
        </w:tc>
        <w:tc>
          <w:tcPr>
            <w:tcW w:type="dxa" w:w="7704"/>
            <w:vAlign w:val="center"/>
            <w:shd w:fill="F4F7F9"/>
          </w:tcPr>
          <w:p>
            <w:pPr>
              <w:spacing w:after="20"/>
            </w:pPr>
            <w:r>
              <w:rPr>
                <w:rFonts w:ascii="Aptos" w:hAnsi="Aptos"/>
                <w:sz w:val="15"/>
              </w:rPr>
              <w:t>Version prompts, playbooks, campaign rules and decision policies.</w:t>
            </w:r>
          </w:p>
        </w:tc>
      </w:tr>
      <w:tr>
        <w:tc>
          <w:tcPr>
            <w:tcW w:type="dxa" w:w="2232"/>
            <w:vAlign w:val="center"/>
          </w:tcPr>
          <w:p>
            <w:pPr>
              <w:spacing w:after="20"/>
            </w:pPr>
            <w:r>
              <w:rPr>
                <w:rFonts w:ascii="Aptos" w:hAnsi="Aptos"/>
                <w:sz w:val="15"/>
              </w:rPr>
              <w:t>Failure safety</w:t>
            </w:r>
          </w:p>
        </w:tc>
        <w:tc>
          <w:tcPr>
            <w:tcW w:type="dxa" w:w="7704"/>
            <w:vAlign w:val="center"/>
          </w:tcPr>
          <w:p>
            <w:pPr>
              <w:spacing w:after="20"/>
            </w:pPr>
            <w:r>
              <w:rPr>
                <w:rFonts w:ascii="Aptos" w:hAnsi="Aptos"/>
                <w:sz w:val="15"/>
              </w:rPr>
              <w:t>When a source fails or data conflicts, mark uncertainty instead of inventing an answer.</w:t>
            </w:r>
          </w:p>
        </w:tc>
      </w:tr>
      <w:tr>
        <w:tc>
          <w:tcPr>
            <w:tcW w:type="dxa" w:w="2232"/>
            <w:vAlign w:val="center"/>
            <w:shd w:fill="F4F7F9"/>
          </w:tcPr>
          <w:p>
            <w:pPr>
              <w:spacing w:after="20"/>
            </w:pPr>
            <w:r>
              <w:rPr>
                <w:rFonts w:ascii="Aptos" w:hAnsi="Aptos"/>
                <w:sz w:val="15"/>
              </w:rPr>
              <w:t>Retention</w:t>
            </w:r>
          </w:p>
        </w:tc>
        <w:tc>
          <w:tcPr>
            <w:tcW w:type="dxa" w:w="7704"/>
            <w:vAlign w:val="center"/>
            <w:shd w:fill="F4F7F9"/>
          </w:tcPr>
          <w:p>
            <w:pPr>
              <w:spacing w:after="20"/>
            </w:pPr>
            <w:r>
              <w:rPr>
                <w:rFonts w:ascii="Aptos" w:hAnsi="Aptos"/>
                <w:sz w:val="15"/>
              </w:rPr>
              <w:t>Define what lead, email and research data is retained and when it is deleted.</w:t>
            </w:r>
          </w:p>
        </w:tc>
      </w:tr>
    </w:tbl>
    <w:p>
      <w:pPr>
        <w:spacing w:after="0"/>
      </w:pPr>
    </w:p>
    <w:p>
      <w:pPr>
        <w:pStyle w:val="Heading2"/>
      </w:pPr>
      <w:r>
        <w:t>Failure handling</w:t>
      </w:r>
    </w:p>
    <w:p>
      <w:pPr>
        <w:pStyle w:val="ListBullet"/>
        <w:spacing w:after="40"/>
        <w:ind w:left="259"/>
      </w:pPr>
      <w:r>
        <w:t>External source unavailable → use available trusted data and clearly mark the gap.</w:t>
      </w:r>
    </w:p>
    <w:p>
      <w:pPr>
        <w:pStyle w:val="ListBullet"/>
        <w:spacing w:after="40"/>
        <w:ind w:left="259"/>
      </w:pPr>
      <w:r>
        <w:t>Retrieval failure → fall back to structured/keyword retrieval where possible; never invent missing context.</w:t>
      </w:r>
    </w:p>
    <w:p>
      <w:pPr>
        <w:pStyle w:val="ListBullet"/>
        <w:spacing w:after="40"/>
        <w:ind w:left="259"/>
      </w:pPr>
      <w:r>
        <w:t>Entity ambiguity → keep the lead unresolved or request clarification.</w:t>
      </w:r>
    </w:p>
    <w:p>
      <w:pPr>
        <w:pStyle w:val="ListBullet"/>
        <w:spacing w:after="40"/>
        <w:ind w:left="259"/>
      </w:pPr>
      <w:r>
        <w:t>Conflicting data → preserve conflict metadata and use source/recency rules rather than silently choosing.</w:t>
      </w:r>
    </w:p>
    <w:p>
      <w:pPr>
        <w:pStyle w:val="ListBullet"/>
        <w:spacing w:after="40"/>
        <w:ind w:left="259"/>
      </w:pPr>
      <w:r>
        <w:t>LLM extraction failure → retry or use deterministic parsing while preserving the raw source.</w:t>
      </w:r>
    </w:p>
    <w:p>
      <w:pPr>
        <w:pStyle w:val="ListBullet"/>
        <w:spacing w:after="40"/>
        <w:ind w:left="259"/>
      </w:pPr>
      <w:r>
        <w:t>Permission failure → exclude restricted information and record the access decision.</w:t>
      </w:r>
    </w:p>
    <w:p>
      <w:pPr>
        <w:pStyle w:val="ListBullet"/>
        <w:spacing w:after="40"/>
        <w:ind w:left="259"/>
      </w:pPr>
      <w:r>
        <w:t>Duplicate event → use event IDs and idempotency keys.</w:t>
      </w:r>
    </w:p>
    <w:tbl>
      <w:tblPr>
        <w:tblStyle w:val="TableGrid"/>
        <w:tblW w:type="auto" w:w="0"/>
        <w:jc w:val="center"/>
        <w:tblLook w:firstColumn="1" w:firstRow="1" w:lastColumn="0" w:lastRow="0" w:noHBand="0" w:noVBand="1" w:val="04A0"/>
      </w:tblPr>
      <w:tblGrid>
        <w:gridCol w:w="10368"/>
      </w:tblGrid>
      <w:tr>
        <w:tc>
          <w:tcPr>
            <w:tcW w:type="dxa" w:w="10368"/>
            <w:shd w:fill="EAF2F8"/>
          </w:tcPr>
          <w:p>
            <w:r>
              <w:rPr>
                <w:b/>
                <w:color w:val="163B5C"/>
              </w:rPr>
              <w:t>Governance principle</w:t>
            </w:r>
          </w:p>
          <w:p>
            <w:pPr>
              <w:spacing w:after="0"/>
            </w:pPr>
            <w:r>
              <w:t>The model may recommend. The platform decides whether the recommendation is permitted, approved and executable.</w:t>
            </w:r>
          </w:p>
        </w:tc>
      </w:tr>
    </w:tbl>
    <w:p>
      <w:pPr>
        <w:spacing w:after="0"/>
      </w:pPr>
    </w:p>
    <w:p>
      <w:pPr>
        <w:pStyle w:val="Heading1"/>
        <w:pageBreakBefore/>
      </w:pPr>
      <w:r>
        <w:t>13. Technical Stack, APIs and Implementation Roadmap</w:t>
      </w:r>
    </w:p>
    <w:p>
      <w:pPr>
        <w:pStyle w:val="Small"/>
      </w:pPr>
      <w:r>
        <w:rPr>
          <w:i/>
        </w:rPr>
        <w:t>A practical build plan based on the supplied architectures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63B5C"/>
          </w:tcPr>
          <w:p>
            <w:pPr>
              <w:spacing w:after="20"/>
            </w:pPr>
            <w:r>
              <w:rPr>
                <w:rFonts w:ascii="Aptos" w:hAnsi="Aptos"/>
                <w:b/>
                <w:color w:val="FFFFFF"/>
                <w:sz w:val="16"/>
              </w:rPr>
              <w:t>Layer</w:t>
            </w:r>
          </w:p>
        </w:tc>
        <w:tc>
          <w:tcPr>
            <w:tcW w:type="dxa" w:w="7056"/>
            <w:vAlign w:val="center"/>
            <w:shd w:fill="163B5C"/>
          </w:tcPr>
          <w:p>
            <w:pPr>
              <w:spacing w:after="20"/>
            </w:pPr>
            <w:r>
              <w:rPr>
                <w:rFonts w:ascii="Aptos" w:hAnsi="Aptos"/>
                <w:b/>
                <w:color w:val="FFFFFF"/>
                <w:sz w:val="16"/>
              </w:rPr>
              <w:t>Recommended direction</w:t>
            </w:r>
          </w:p>
        </w:tc>
      </w:tr>
      <w:tr>
        <w:tc>
          <w:tcPr>
            <w:tcW w:type="dxa" w:w="2880"/>
            <w:vAlign w:val="center"/>
          </w:tcPr>
          <w:p>
            <w:pPr>
              <w:spacing w:after="20"/>
            </w:pPr>
            <w:r>
              <w:rPr>
                <w:rFonts w:ascii="Aptos" w:hAnsi="Aptos"/>
                <w:sz w:val="16"/>
              </w:rPr>
              <w:t>Frontend</w:t>
            </w:r>
          </w:p>
        </w:tc>
        <w:tc>
          <w:tcPr>
            <w:tcW w:type="dxa" w:w="7056"/>
            <w:vAlign w:val="center"/>
          </w:tcPr>
          <w:p>
            <w:pPr>
              <w:spacing w:after="20"/>
            </w:pPr>
            <w:r>
              <w:rPr>
                <w:rFonts w:ascii="Aptos" w:hAnsi="Aptos"/>
                <w:sz w:val="16"/>
              </w:rPr>
              <w:t>React + TypeScript or the existing sales frontend</w:t>
            </w:r>
          </w:p>
        </w:tc>
      </w:tr>
      <w:tr>
        <w:tc>
          <w:tcPr>
            <w:tcW w:type="dxa" w:w="2880"/>
            <w:vAlign w:val="center"/>
            <w:shd w:fill="F4F7F9"/>
          </w:tcPr>
          <w:p>
            <w:pPr>
              <w:spacing w:after="20"/>
            </w:pPr>
            <w:r>
              <w:rPr>
                <w:rFonts w:ascii="Aptos" w:hAnsi="Aptos"/>
                <w:sz w:val="16"/>
              </w:rPr>
              <w:t>Backend API</w:t>
            </w:r>
          </w:p>
        </w:tc>
        <w:tc>
          <w:tcPr>
            <w:tcW w:type="dxa" w:w="7056"/>
            <w:vAlign w:val="center"/>
            <w:shd w:fill="F4F7F9"/>
          </w:tcPr>
          <w:p>
            <w:pPr>
              <w:spacing w:after="20"/>
            </w:pPr>
            <w:r>
              <w:rPr>
                <w:rFonts w:ascii="Aptos" w:hAnsi="Aptos"/>
                <w:sz w:val="16"/>
              </w:rPr>
              <w:t>Python + FastAPI</w:t>
            </w:r>
          </w:p>
        </w:tc>
      </w:tr>
      <w:tr>
        <w:tc>
          <w:tcPr>
            <w:tcW w:type="dxa" w:w="2880"/>
            <w:vAlign w:val="center"/>
          </w:tcPr>
          <w:p>
            <w:pPr>
              <w:spacing w:after="20"/>
            </w:pPr>
            <w:r>
              <w:rPr>
                <w:rFonts w:ascii="Aptos" w:hAnsi="Aptos"/>
                <w:sz w:val="16"/>
              </w:rPr>
              <w:t>Agent orchestration</w:t>
            </w:r>
          </w:p>
        </w:tc>
        <w:tc>
          <w:tcPr>
            <w:tcW w:type="dxa" w:w="7056"/>
            <w:vAlign w:val="center"/>
          </w:tcPr>
          <w:p>
            <w:pPr>
              <w:spacing w:after="20"/>
            </w:pPr>
            <w:r>
              <w:rPr>
                <w:rFonts w:ascii="Aptos" w:hAnsi="Aptos"/>
                <w:sz w:val="16"/>
              </w:rPr>
              <w:t>LangGraph or application-level workflow orchestration</w:t>
            </w:r>
          </w:p>
        </w:tc>
      </w:tr>
      <w:tr>
        <w:tc>
          <w:tcPr>
            <w:tcW w:type="dxa" w:w="2880"/>
            <w:vAlign w:val="center"/>
            <w:shd w:fill="F4F7F9"/>
          </w:tcPr>
          <w:p>
            <w:pPr>
              <w:spacing w:after="20"/>
            </w:pPr>
            <w:r>
              <w:rPr>
                <w:rFonts w:ascii="Aptos" w:hAnsi="Aptos"/>
                <w:sz w:val="16"/>
              </w:rPr>
              <w:t>Validation</w:t>
            </w:r>
          </w:p>
        </w:tc>
        <w:tc>
          <w:tcPr>
            <w:tcW w:type="dxa" w:w="7056"/>
            <w:vAlign w:val="center"/>
            <w:shd w:fill="F4F7F9"/>
          </w:tcPr>
          <w:p>
            <w:pPr>
              <w:spacing w:after="20"/>
            </w:pPr>
            <w:r>
              <w:rPr>
                <w:rFonts w:ascii="Aptos" w:hAnsi="Aptos"/>
                <w:sz w:val="16"/>
              </w:rPr>
              <w:t>Pydantic / typed schemas</w:t>
            </w:r>
          </w:p>
        </w:tc>
      </w:tr>
      <w:tr>
        <w:tc>
          <w:tcPr>
            <w:tcW w:type="dxa" w:w="2880"/>
            <w:vAlign w:val="center"/>
          </w:tcPr>
          <w:p>
            <w:pPr>
              <w:spacing w:after="20"/>
            </w:pPr>
            <w:r>
              <w:rPr>
                <w:rFonts w:ascii="Aptos" w:hAnsi="Aptos"/>
                <w:sz w:val="16"/>
              </w:rPr>
              <w:t>Structured data</w:t>
            </w:r>
          </w:p>
        </w:tc>
        <w:tc>
          <w:tcPr>
            <w:tcW w:type="dxa" w:w="7056"/>
            <w:vAlign w:val="center"/>
          </w:tcPr>
          <w:p>
            <w:pPr>
              <w:spacing w:after="20"/>
            </w:pPr>
            <w:r>
              <w:rPr>
                <w:rFonts w:ascii="Aptos" w:hAnsi="Aptos"/>
                <w:sz w:val="16"/>
              </w:rPr>
              <w:t>PostgreSQL</w:t>
            </w:r>
          </w:p>
        </w:tc>
      </w:tr>
      <w:tr>
        <w:tc>
          <w:tcPr>
            <w:tcW w:type="dxa" w:w="2880"/>
            <w:vAlign w:val="center"/>
            <w:shd w:fill="F4F7F9"/>
          </w:tcPr>
          <w:p>
            <w:pPr>
              <w:spacing w:after="20"/>
            </w:pPr>
            <w:r>
              <w:rPr>
                <w:rFonts w:ascii="Aptos" w:hAnsi="Aptos"/>
                <w:sz w:val="16"/>
              </w:rPr>
              <w:t>Cache / jobs</w:t>
            </w:r>
          </w:p>
        </w:tc>
        <w:tc>
          <w:tcPr>
            <w:tcW w:type="dxa" w:w="7056"/>
            <w:vAlign w:val="center"/>
            <w:shd w:fill="F4F7F9"/>
          </w:tcPr>
          <w:p>
            <w:pPr>
              <w:spacing w:after="20"/>
            </w:pPr>
            <w:r>
              <w:rPr>
                <w:rFonts w:ascii="Aptos" w:hAnsi="Aptos"/>
                <w:sz w:val="16"/>
              </w:rPr>
              <w:t>Redis + worker system</w:t>
            </w:r>
          </w:p>
        </w:tc>
      </w:tr>
      <w:tr>
        <w:tc>
          <w:tcPr>
            <w:tcW w:type="dxa" w:w="2880"/>
            <w:vAlign w:val="center"/>
          </w:tcPr>
          <w:p>
            <w:pPr>
              <w:spacing w:after="20"/>
            </w:pPr>
            <w:r>
              <w:rPr>
                <w:rFonts w:ascii="Aptos" w:hAnsi="Aptos"/>
                <w:sz w:val="16"/>
              </w:rPr>
              <w:t>Semantic retrieval</w:t>
            </w:r>
          </w:p>
        </w:tc>
        <w:tc>
          <w:tcPr>
            <w:tcW w:type="dxa" w:w="7056"/>
            <w:vAlign w:val="center"/>
          </w:tcPr>
          <w:p>
            <w:pPr>
              <w:spacing w:after="20"/>
            </w:pPr>
            <w:r>
              <w:rPr>
                <w:rFonts w:ascii="Aptos" w:hAnsi="Aptos"/>
                <w:sz w:val="16"/>
              </w:rPr>
              <w:t>Production vector database + embeddings</w:t>
            </w:r>
          </w:p>
        </w:tc>
      </w:tr>
      <w:tr>
        <w:tc>
          <w:tcPr>
            <w:tcW w:type="dxa" w:w="2880"/>
            <w:vAlign w:val="center"/>
            <w:shd w:fill="F4F7F9"/>
          </w:tcPr>
          <w:p>
            <w:pPr>
              <w:spacing w:after="20"/>
            </w:pPr>
            <w:r>
              <w:rPr>
                <w:rFonts w:ascii="Aptos" w:hAnsi="Aptos"/>
                <w:sz w:val="16"/>
              </w:rPr>
              <w:t>Documents / assets</w:t>
            </w:r>
          </w:p>
        </w:tc>
        <w:tc>
          <w:tcPr>
            <w:tcW w:type="dxa" w:w="7056"/>
            <w:vAlign w:val="center"/>
            <w:shd w:fill="F4F7F9"/>
          </w:tcPr>
          <w:p>
            <w:pPr>
              <w:spacing w:after="20"/>
            </w:pPr>
            <w:r>
              <w:rPr>
                <w:rFonts w:ascii="Aptos" w:hAnsi="Aptos"/>
                <w:sz w:val="16"/>
              </w:rPr>
              <w:t>Object storage + CDN where needed</w:t>
            </w:r>
          </w:p>
        </w:tc>
      </w:tr>
      <w:tr>
        <w:tc>
          <w:tcPr>
            <w:tcW w:type="dxa" w:w="2880"/>
            <w:vAlign w:val="center"/>
          </w:tcPr>
          <w:p>
            <w:pPr>
              <w:spacing w:after="20"/>
            </w:pPr>
            <w:r>
              <w:rPr>
                <w:rFonts w:ascii="Aptos" w:hAnsi="Aptos"/>
                <w:sz w:val="16"/>
              </w:rPr>
              <w:t>Email</w:t>
            </w:r>
          </w:p>
        </w:tc>
        <w:tc>
          <w:tcPr>
            <w:tcW w:type="dxa" w:w="7056"/>
            <w:vAlign w:val="center"/>
          </w:tcPr>
          <w:p>
            <w:pPr>
              <w:spacing w:after="20"/>
            </w:pPr>
            <w:r>
              <w:rPr>
                <w:rFonts w:ascii="Aptos" w:hAnsi="Aptos"/>
                <w:sz w:val="16"/>
              </w:rPr>
              <w:t>Gmail API / Microsoft Graph with OAuth 2.0</w:t>
            </w:r>
          </w:p>
        </w:tc>
      </w:tr>
      <w:tr>
        <w:tc>
          <w:tcPr>
            <w:tcW w:type="dxa" w:w="2880"/>
            <w:vAlign w:val="center"/>
            <w:shd w:fill="F4F7F9"/>
          </w:tcPr>
          <w:p>
            <w:pPr>
              <w:spacing w:after="20"/>
            </w:pPr>
            <w:r>
              <w:rPr>
                <w:rFonts w:ascii="Aptos" w:hAnsi="Aptos"/>
                <w:sz w:val="16"/>
              </w:rPr>
              <w:t>External actions</w:t>
            </w:r>
          </w:p>
        </w:tc>
        <w:tc>
          <w:tcPr>
            <w:tcW w:type="dxa" w:w="7056"/>
            <w:vAlign w:val="center"/>
            <w:shd w:fill="F4F7F9"/>
          </w:tcPr>
          <w:p>
            <w:pPr>
              <w:spacing w:after="20"/>
            </w:pPr>
            <w:r>
              <w:rPr>
                <w:rFonts w:ascii="Aptos" w:hAnsi="Aptos"/>
                <w:sz w:val="16"/>
              </w:rPr>
              <w:t>Typed integration services with permission checks</w:t>
            </w:r>
          </w:p>
        </w:tc>
      </w:tr>
      <w:tr>
        <w:tc>
          <w:tcPr>
            <w:tcW w:type="dxa" w:w="2880"/>
            <w:vAlign w:val="center"/>
          </w:tcPr>
          <w:p>
            <w:pPr>
              <w:spacing w:after="20"/>
            </w:pPr>
            <w:r>
              <w:rPr>
                <w:rFonts w:ascii="Aptos" w:hAnsi="Aptos"/>
                <w:sz w:val="16"/>
              </w:rPr>
              <w:t>Authentication</w:t>
            </w:r>
          </w:p>
        </w:tc>
        <w:tc>
          <w:tcPr>
            <w:tcW w:type="dxa" w:w="7056"/>
            <w:vAlign w:val="center"/>
          </w:tcPr>
          <w:p>
            <w:pPr>
              <w:spacing w:after="20"/>
            </w:pPr>
            <w:r>
              <w:rPr>
                <w:rFonts w:ascii="Aptos" w:hAnsi="Aptos"/>
                <w:sz w:val="16"/>
              </w:rPr>
              <w:t>OAuth2/OIDC + JWT + RBAC</w:t>
            </w:r>
          </w:p>
        </w:tc>
      </w:tr>
      <w:tr>
        <w:tc>
          <w:tcPr>
            <w:tcW w:type="dxa" w:w="2880"/>
            <w:vAlign w:val="center"/>
            <w:shd w:fill="F4F7F9"/>
          </w:tcPr>
          <w:p>
            <w:pPr>
              <w:spacing w:after="20"/>
            </w:pPr>
            <w:r>
              <w:rPr>
                <w:rFonts w:ascii="Aptos" w:hAnsi="Aptos"/>
                <w:sz w:val="16"/>
              </w:rPr>
              <w:t>Deployment</w:t>
            </w:r>
          </w:p>
        </w:tc>
        <w:tc>
          <w:tcPr>
            <w:tcW w:type="dxa" w:w="7056"/>
            <w:vAlign w:val="center"/>
            <w:shd w:fill="F4F7F9"/>
          </w:tcPr>
          <w:p>
            <w:pPr>
              <w:spacing w:after="20"/>
            </w:pPr>
            <w:r>
              <w:rPr>
                <w:rFonts w:ascii="Aptos" w:hAnsi="Aptos"/>
                <w:sz w:val="16"/>
              </w:rPr>
              <w:t>Docker-based cloud deployment</w:t>
            </w:r>
          </w:p>
        </w:tc>
      </w:tr>
    </w:tbl>
    <w:p>
      <w:pPr>
        <w:spacing w:after="0"/>
      </w:pPr>
    </w:p>
    <w:p>
      <w:pPr>
        <w:pStyle w:val="Heading2"/>
      </w:pPr>
      <w:r>
        <w:t>Recommended implementation order</w:t>
      </w:r>
    </w:p>
    <w:p>
      <w:pPr>
        <w:pStyle w:val="ListNumber"/>
        <w:numPr>
          <w:ilvl w:val="0"/>
          <w:numId w:val="12"/>
        </w:numPr>
        <w:spacing w:after="40"/>
      </w:pPr>
      <w:r>
        <w:t>Build the shared data model, authentication, audit log and central API.</w:t>
      </w:r>
    </w:p>
    <w:p>
      <w:pPr>
        <w:pStyle w:val="ListNumber"/>
        <w:numPr>
          <w:ilvl w:val="0"/>
          <w:numId w:val="12"/>
        </w:numPr>
        <w:spacing w:after="40"/>
      </w:pPr>
      <w:r>
        <w:t>Build the Knowledge-Based Agent and ContextPackage contract.</w:t>
      </w:r>
    </w:p>
    <w:p>
      <w:pPr>
        <w:pStyle w:val="ListNumber"/>
        <w:numPr>
          <w:ilvl w:val="0"/>
          <w:numId w:val="12"/>
        </w:numPr>
        <w:spacing w:after="40"/>
      </w:pPr>
      <w:r>
        <w:t>Build Lead Research with evidence and scoring.</w:t>
      </w:r>
    </w:p>
    <w:p>
      <w:pPr>
        <w:pStyle w:val="ListNumber"/>
        <w:numPr>
          <w:ilvl w:val="0"/>
          <w:numId w:val="12"/>
        </w:numPr>
        <w:spacing w:after="40"/>
      </w:pPr>
      <w:r>
        <w:t>Build Lead Lifecycle as the decision and routing layer.</w:t>
      </w:r>
    </w:p>
    <w:p>
      <w:pPr>
        <w:pStyle w:val="ListNumber"/>
        <w:numPr>
          <w:ilvl w:val="0"/>
          <w:numId w:val="12"/>
        </w:numPr>
        <w:spacing w:after="40"/>
      </w:pPr>
      <w:r>
        <w:t>Build Campaign Content with brand grounding and approval.</w:t>
      </w:r>
    </w:p>
    <w:p>
      <w:pPr>
        <w:pStyle w:val="ListNumber"/>
        <w:numPr>
          <w:ilvl w:val="0"/>
          <w:numId w:val="12"/>
        </w:numPr>
        <w:spacing w:after="40"/>
      </w:pPr>
      <w:r>
        <w:t>Build Outreach execution with strict suppression and send controls.</w:t>
      </w:r>
    </w:p>
    <w:p>
      <w:pPr>
        <w:pStyle w:val="ListNumber"/>
        <w:numPr>
          <w:ilvl w:val="0"/>
          <w:numId w:val="12"/>
        </w:numPr>
        <w:spacing w:after="40"/>
      </w:pPr>
      <w:r>
        <w:t>Build Inbox / Reply Intelligence with OAuth and backend approval for sending.</w:t>
      </w:r>
    </w:p>
    <w:p>
      <w:pPr>
        <w:pStyle w:val="ListNumber"/>
        <w:numPr>
          <w:ilvl w:val="0"/>
          <w:numId w:val="12"/>
        </w:numPr>
        <w:spacing w:after="40"/>
      </w:pPr>
      <w:r>
        <w:t>Connect events, analytics and feedback loops across all agents.</w:t>
      </w:r>
    </w:p>
    <w:p>
      <w:pPr>
        <w:pStyle w:val="ListNumber"/>
        <w:numPr>
          <w:ilvl w:val="0"/>
          <w:numId w:val="12"/>
        </w:numPr>
        <w:spacing w:after="40"/>
      </w:pPr>
      <w:r>
        <w:t>Add optimization only after quality, safety and state consistency are measurable.</w:t>
      </w:r>
    </w:p>
    <w:p>
      <w:pPr>
        <w:pStyle w:val="Heading2"/>
      </w:pPr>
      <w:r>
        <w:t>MVP boundary</w:t>
      </w:r>
    </w:p>
    <w:p>
      <w:r>
        <w:t>Start read-heavy and approval-heavy. Research, retrieval, classification and drafting can be automated first. External sending, publishing and other irreversible actions should remain gated until confidence, logging and failure handling are proven.</w:t>
      </w:r>
    </w:p>
    <w:p>
      <w:pPr>
        <w:pStyle w:val="Heading1"/>
        <w:pageBreakBefore/>
      </w:pPr>
      <w:r>
        <w:t>14. Evaluation, KPIs and Final Architecture Principles</w:t>
      </w:r>
    </w:p>
    <w:p>
      <w:pPr>
        <w:pStyle w:val="Small"/>
      </w:pPr>
      <w:r>
        <w:rPr>
          <w:i/>
        </w:rPr>
        <w:t>How to know the platform is working</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63B5C"/>
          </w:tcPr>
          <w:p>
            <w:pPr>
              <w:spacing w:after="20"/>
            </w:pPr>
            <w:r>
              <w:rPr>
                <w:rFonts w:ascii="Aptos" w:hAnsi="Aptos"/>
                <w:b/>
                <w:color w:val="FFFFFF"/>
                <w:sz w:val="15"/>
              </w:rPr>
              <w:t>Area</w:t>
            </w:r>
          </w:p>
        </w:tc>
        <w:tc>
          <w:tcPr>
            <w:tcW w:type="dxa" w:w="7632"/>
            <w:vAlign w:val="center"/>
            <w:shd w:fill="163B5C"/>
          </w:tcPr>
          <w:p>
            <w:pPr>
              <w:spacing w:after="20"/>
            </w:pPr>
            <w:r>
              <w:rPr>
                <w:rFonts w:ascii="Aptos" w:hAnsi="Aptos"/>
                <w:b/>
                <w:color w:val="FFFFFF"/>
                <w:sz w:val="15"/>
              </w:rPr>
              <w:t>Useful measures</w:t>
            </w:r>
          </w:p>
        </w:tc>
      </w:tr>
      <w:tr>
        <w:tc>
          <w:tcPr>
            <w:tcW w:type="dxa" w:w="2304"/>
            <w:vAlign w:val="center"/>
          </w:tcPr>
          <w:p>
            <w:pPr>
              <w:spacing w:after="20"/>
            </w:pPr>
            <w:r>
              <w:rPr>
                <w:rFonts w:ascii="Aptos" w:hAnsi="Aptos"/>
                <w:sz w:val="15"/>
              </w:rPr>
              <w:t>Knowledge</w:t>
            </w:r>
          </w:p>
        </w:tc>
        <w:tc>
          <w:tcPr>
            <w:tcW w:type="dxa" w:w="7632"/>
            <w:vAlign w:val="center"/>
          </w:tcPr>
          <w:p>
            <w:pPr>
              <w:spacing w:after="20"/>
            </w:pPr>
            <w:r>
              <w:rPr>
                <w:rFonts w:ascii="Aptos" w:hAnsi="Aptos"/>
                <w:sz w:val="15"/>
              </w:rPr>
              <w:t>Retrieval precision/recall, groundedness, freshness, entity-resolution accuracy, provenance coverage.</w:t>
            </w:r>
          </w:p>
        </w:tc>
      </w:tr>
      <w:tr>
        <w:tc>
          <w:tcPr>
            <w:tcW w:type="dxa" w:w="2304"/>
            <w:vAlign w:val="center"/>
            <w:shd w:fill="F4F7F9"/>
          </w:tcPr>
          <w:p>
            <w:pPr>
              <w:spacing w:after="20"/>
            </w:pPr>
            <w:r>
              <w:rPr>
                <w:rFonts w:ascii="Aptos" w:hAnsi="Aptos"/>
                <w:sz w:val="15"/>
              </w:rPr>
              <w:t>Research</w:t>
            </w:r>
          </w:p>
        </w:tc>
        <w:tc>
          <w:tcPr>
            <w:tcW w:type="dxa" w:w="7632"/>
            <w:vAlign w:val="center"/>
            <w:shd w:fill="F4F7F9"/>
          </w:tcPr>
          <w:p>
            <w:pPr>
              <w:spacing w:after="20"/>
            </w:pPr>
            <w:r>
              <w:rPr>
                <w:rFonts w:ascii="Aptos" w:hAnsi="Aptos"/>
                <w:sz w:val="15"/>
              </w:rPr>
              <w:t>Research completeness, evidence coverage, score consistency, stale-data rate.</w:t>
            </w:r>
          </w:p>
        </w:tc>
      </w:tr>
      <w:tr>
        <w:tc>
          <w:tcPr>
            <w:tcW w:type="dxa" w:w="2304"/>
            <w:vAlign w:val="center"/>
          </w:tcPr>
          <w:p>
            <w:pPr>
              <w:spacing w:after="20"/>
            </w:pPr>
            <w:r>
              <w:rPr>
                <w:rFonts w:ascii="Aptos" w:hAnsi="Aptos"/>
                <w:sz w:val="15"/>
              </w:rPr>
              <w:t>Campaign Content</w:t>
            </w:r>
          </w:p>
        </w:tc>
        <w:tc>
          <w:tcPr>
            <w:tcW w:type="dxa" w:w="7632"/>
            <w:vAlign w:val="center"/>
          </w:tcPr>
          <w:p>
            <w:pPr>
              <w:spacing w:after="20"/>
            </w:pPr>
            <w:r>
              <w:rPr>
                <w:rFonts w:ascii="Aptos" w:hAnsi="Aptos"/>
                <w:sz w:val="15"/>
              </w:rPr>
              <w:t>Brand-check pass rate, claim accuracy, approval rate, revision rate, content performance.</w:t>
            </w:r>
          </w:p>
        </w:tc>
      </w:tr>
      <w:tr>
        <w:tc>
          <w:tcPr>
            <w:tcW w:type="dxa" w:w="2304"/>
            <w:vAlign w:val="center"/>
            <w:shd w:fill="F4F7F9"/>
          </w:tcPr>
          <w:p>
            <w:pPr>
              <w:spacing w:after="20"/>
            </w:pPr>
            <w:r>
              <w:rPr>
                <w:rFonts w:ascii="Aptos" w:hAnsi="Aptos"/>
                <w:sz w:val="15"/>
              </w:rPr>
              <w:t>Outreach</w:t>
            </w:r>
          </w:p>
        </w:tc>
        <w:tc>
          <w:tcPr>
            <w:tcW w:type="dxa" w:w="7632"/>
            <w:vAlign w:val="center"/>
            <w:shd w:fill="F4F7F9"/>
          </w:tcPr>
          <w:p>
            <w:pPr>
              <w:spacing w:after="20"/>
            </w:pPr>
            <w:r>
              <w:rPr>
                <w:rFonts w:ascii="Aptos" w:hAnsi="Aptos"/>
                <w:sz w:val="15"/>
              </w:rPr>
              <w:t>Qualified lead rate, valid contact rate, bounce rate, reply rate, positive reply rate, meeting rate.</w:t>
            </w:r>
          </w:p>
        </w:tc>
      </w:tr>
      <w:tr>
        <w:tc>
          <w:tcPr>
            <w:tcW w:type="dxa" w:w="2304"/>
            <w:vAlign w:val="center"/>
          </w:tcPr>
          <w:p>
            <w:pPr>
              <w:spacing w:after="20"/>
            </w:pPr>
            <w:r>
              <w:rPr>
                <w:rFonts w:ascii="Aptos" w:hAnsi="Aptos"/>
                <w:sz w:val="15"/>
              </w:rPr>
              <w:t>Inbox</w:t>
            </w:r>
          </w:p>
        </w:tc>
        <w:tc>
          <w:tcPr>
            <w:tcW w:type="dxa" w:w="7632"/>
            <w:vAlign w:val="center"/>
          </w:tcPr>
          <w:p>
            <w:pPr>
              <w:spacing w:after="20"/>
            </w:pPr>
            <w:r>
              <w:rPr>
                <w:rFonts w:ascii="Aptos" w:hAnsi="Aptos"/>
                <w:sz w:val="15"/>
              </w:rPr>
              <w:t>Classification accuracy, urgent-email recall, draft acceptance, handoff accuracy, response latency.</w:t>
            </w:r>
          </w:p>
        </w:tc>
      </w:tr>
      <w:tr>
        <w:tc>
          <w:tcPr>
            <w:tcW w:type="dxa" w:w="2304"/>
            <w:vAlign w:val="center"/>
            <w:shd w:fill="F4F7F9"/>
          </w:tcPr>
          <w:p>
            <w:pPr>
              <w:spacing w:after="20"/>
            </w:pPr>
            <w:r>
              <w:rPr>
                <w:rFonts w:ascii="Aptos" w:hAnsi="Aptos"/>
                <w:sz w:val="15"/>
              </w:rPr>
              <w:t>Lifecycle</w:t>
            </w:r>
          </w:p>
        </w:tc>
        <w:tc>
          <w:tcPr>
            <w:tcW w:type="dxa" w:w="7632"/>
            <w:vAlign w:val="center"/>
            <w:shd w:fill="F4F7F9"/>
          </w:tcPr>
          <w:p>
            <w:pPr>
              <w:spacing w:after="20"/>
            </w:pPr>
            <w:r>
              <w:rPr>
                <w:rFonts w:ascii="Aptos" w:hAnsi="Aptos"/>
                <w:sz w:val="15"/>
              </w:rPr>
              <w:t>Stage accuracy, next-action acceptance, stalled-lead reduction, policy-block rate.</w:t>
            </w:r>
          </w:p>
        </w:tc>
      </w:tr>
      <w:tr>
        <w:tc>
          <w:tcPr>
            <w:tcW w:type="dxa" w:w="2304"/>
            <w:vAlign w:val="center"/>
          </w:tcPr>
          <w:p>
            <w:pPr>
              <w:spacing w:after="20"/>
            </w:pPr>
            <w:r>
              <w:rPr>
                <w:rFonts w:ascii="Aptos" w:hAnsi="Aptos"/>
                <w:sz w:val="15"/>
              </w:rPr>
              <w:t>Platform</w:t>
            </w:r>
          </w:p>
        </w:tc>
        <w:tc>
          <w:tcPr>
            <w:tcW w:type="dxa" w:w="7632"/>
            <w:vAlign w:val="center"/>
          </w:tcPr>
          <w:p>
            <w:pPr>
              <w:spacing w:after="20"/>
            </w:pPr>
            <w:r>
              <w:rPr>
                <w:rFonts w:ascii="Aptos" w:hAnsi="Aptos"/>
                <w:sz w:val="15"/>
              </w:rPr>
              <w:t>Latency, cost per run, tool failure rate, duplicate-event rate, audit coverage.</w:t>
            </w:r>
          </w:p>
        </w:tc>
      </w:tr>
    </w:tbl>
    <w:p>
      <w:pPr>
        <w:spacing w:after="0"/>
      </w:pPr>
    </w:p>
    <w:p>
      <w:pPr>
        <w:pStyle w:val="Heading2"/>
      </w:pPr>
      <w:r>
        <w:t>Final architecture principles</w:t>
      </w:r>
    </w:p>
    <w:p>
      <w:pPr>
        <w:pStyle w:val="ListNumber"/>
        <w:numPr>
          <w:ilvl w:val="0"/>
          <w:numId w:val="13"/>
        </w:numPr>
        <w:spacing w:after="40"/>
      </w:pPr>
      <w:r>
        <w:t>One shared state: all agents work from the same current lead and account reality.</w:t>
      </w:r>
    </w:p>
    <w:p>
      <w:pPr>
        <w:pStyle w:val="ListNumber"/>
        <w:numPr>
          <w:ilvl w:val="0"/>
          <w:numId w:val="13"/>
        </w:numPr>
        <w:spacing w:after="40"/>
      </w:pPr>
      <w:r>
        <w:t>One shared knowledge layer: evidence is retrieved once and reused across tasks.</w:t>
      </w:r>
    </w:p>
    <w:p>
      <w:pPr>
        <w:pStyle w:val="ListNumber"/>
        <w:numPr>
          <w:ilvl w:val="0"/>
          <w:numId w:val="13"/>
        </w:numPr>
        <w:spacing w:after="40"/>
      </w:pPr>
      <w:r>
        <w:t>Specialist agents: keep responsibilities narrow enough to test and govern.</w:t>
      </w:r>
    </w:p>
    <w:p>
      <w:pPr>
        <w:pStyle w:val="ListNumber"/>
        <w:numPr>
          <w:ilvl w:val="0"/>
          <w:numId w:val="13"/>
        </w:numPr>
        <w:spacing w:after="40"/>
      </w:pPr>
      <w:r>
        <w:t>Central orchestration: route work and enforce workflow state rather than letting agents call each other freely.</w:t>
      </w:r>
    </w:p>
    <w:p>
      <w:pPr>
        <w:pStyle w:val="ListNumber"/>
        <w:numPr>
          <w:ilvl w:val="0"/>
          <w:numId w:val="13"/>
        </w:numPr>
        <w:spacing w:after="40"/>
      </w:pPr>
      <w:r>
        <w:t>Event-driven feedback: every important outcome becomes a new fact for future decisions.</w:t>
      </w:r>
    </w:p>
    <w:p>
      <w:pPr>
        <w:pStyle w:val="ListNumber"/>
        <w:numPr>
          <w:ilvl w:val="0"/>
          <w:numId w:val="13"/>
        </w:numPr>
        <w:spacing w:after="40"/>
      </w:pPr>
      <w:r>
        <w:t>Rules + scoring + AI: deterministic policy for clear cases, scoring for priority, AI reasoning for ambiguity.</w:t>
      </w:r>
    </w:p>
    <w:p>
      <w:pPr>
        <w:pStyle w:val="ListNumber"/>
        <w:numPr>
          <w:ilvl w:val="0"/>
          <w:numId w:val="13"/>
        </w:numPr>
        <w:spacing w:after="40"/>
      </w:pPr>
      <w:r>
        <w:t>Approval by risk: drafting can be automated; irreversible actions require explicit permission.</w:t>
      </w:r>
    </w:p>
    <w:p>
      <w:pPr>
        <w:pStyle w:val="ListNumber"/>
        <w:numPr>
          <w:ilvl w:val="0"/>
          <w:numId w:val="13"/>
        </w:numPr>
        <w:spacing w:after="40"/>
      </w:pPr>
      <w:r>
        <w:t>Evidence before personalization: do not invent prospect facts, claims or business events.</w:t>
      </w:r>
    </w:p>
    <w:p>
      <w:pPr>
        <w:pStyle w:val="ListNumber"/>
        <w:numPr>
          <w:ilvl w:val="0"/>
          <w:numId w:val="13"/>
        </w:numPr>
        <w:spacing w:after="40"/>
      </w:pPr>
      <w:r>
        <w:t>Audit everything important: decisions should be explainable after the fact.</w:t>
      </w:r>
    </w:p>
    <w:p>
      <w:pPr>
        <w:pStyle w:val="ListNumber"/>
        <w:numPr>
          <w:ilvl w:val="0"/>
          <w:numId w:val="13"/>
        </w:numPr>
        <w:spacing w:after="40"/>
      </w:pPr>
      <w:r>
        <w:t>Measure before optimizing: improve prompts and workflows only after quality and safety are observable.</w:t>
      </w:r>
    </w:p>
    <w:tbl>
      <w:tblPr>
        <w:tblStyle w:val="TableGrid"/>
        <w:tblW w:type="auto" w:w="0"/>
        <w:jc w:val="center"/>
        <w:tblLook w:firstColumn="1" w:firstRow="1" w:lastColumn="0" w:lastRow="0" w:noHBand="0" w:noVBand="1" w:val="04A0"/>
      </w:tblPr>
      <w:tblGrid>
        <w:gridCol w:w="10368"/>
      </w:tblGrid>
      <w:tr>
        <w:tc>
          <w:tcPr>
            <w:tcW w:type="dxa" w:w="10368"/>
            <w:shd w:fill="EAF2F8"/>
          </w:tcPr>
          <w:p>
            <w:r>
              <w:rPr>
                <w:b/>
                <w:color w:val="163B5C"/>
              </w:rPr>
              <w:t>Final conclusion</w:t>
            </w:r>
          </w:p>
          <w:p>
            <w:pPr>
              <w:spacing w:after="0"/>
            </w:pPr>
            <w:r>
              <w:t>The strongest design is not six separate AI bots. It is one governed Sales AI platform with a central orchestrator, a shared knowledge/context service, shared lead state and events, six specialist agents, and controlled human approval. This structure keeps the system modular while allowing every agent to contribute to the same sales journey.</w:t>
            </w:r>
          </w:p>
        </w:tc>
      </w:tr>
    </w:tbl>
    <w:p>
      <w:pPr>
        <w:spacing w:after="0"/>
      </w:pPr>
    </w:p>
    <w:p>
      <w:pPr>
        <w:jc w:val="center"/>
      </w:pPr>
      <w:r>
        <w:rPr>
          <w:b/>
          <w:color w:val="2F6690"/>
        </w:rPr>
        <w:t>End of report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 xml:space="preserve">Unified Sales AI Agent Platform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4"/>
      </w:rPr>
      <w:t>SALES AI AGENT PLATFORM  •  UNIFIED RESEARCH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ptos Display" w:hAnsi="Aptos Display"/>
      <w:b/>
      <w:bCs/>
      <w:color w:val="163B5C"/>
      <w:sz w:val="36"/>
      <w:szCs w:val="28"/>
    </w:rPr>
  </w:style>
  <w:style w:type="paragraph" w:styleId="Heading2">
    <w:name w:val="heading 2"/>
    <w:basedOn w:val="Normal"/>
    <w:next w:val="Normal"/>
    <w:link w:val="Heading2Char"/>
    <w:uiPriority w:val="9"/>
    <w:unhideWhenUsed/>
    <w:qFormat/>
    <w:rsid w:val="00FC693F"/>
    <w:pPr>
      <w:keepNext/>
      <w:keepLines/>
      <w:spacing w:before="140" w:after="0"/>
      <w:outlineLvl w:val="1"/>
    </w:pPr>
    <w:rPr>
      <w:rFonts w:asciiTheme="majorHAnsi" w:eastAsiaTheme="majorEastAsia" w:hAnsiTheme="majorHAnsi" w:cstheme="majorBidi" w:ascii="Aptos Display" w:hAnsi="Aptos Display"/>
      <w:b/>
      <w:bCs/>
      <w:color w:val="2F66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69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B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Centralized Sales AI Agent Platform — Unified Research, Architecture &amp; Technical Design</dc:title>
  <dc:subject>Integrated architecture for six AI sales agents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