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3132" w14:textId="77777777" w:rsidR="004D3F10" w:rsidRDefault="004D3F10" w:rsidP="00A32C31">
      <w:pPr>
        <w:jc w:val="both"/>
        <w:rPr>
          <w:b/>
          <w:sz w:val="28"/>
          <w:szCs w:val="28"/>
          <w:u w:val="single"/>
        </w:rPr>
      </w:pPr>
    </w:p>
    <w:p w14:paraId="1B5006B2" w14:textId="77777777" w:rsidR="004D3F10" w:rsidRDefault="004D3F10" w:rsidP="00A32C31">
      <w:pPr>
        <w:jc w:val="both"/>
        <w:rPr>
          <w:b/>
          <w:sz w:val="28"/>
          <w:szCs w:val="28"/>
          <w:u w:val="single"/>
        </w:rPr>
      </w:pPr>
    </w:p>
    <w:p w14:paraId="50365482" w14:textId="2D735BF3" w:rsidR="004D3F10" w:rsidRDefault="004D3F10" w:rsidP="00A32C31">
      <w:pPr>
        <w:jc w:val="both"/>
        <w:rPr>
          <w:b/>
          <w:sz w:val="28"/>
          <w:szCs w:val="28"/>
          <w:u w:val="single"/>
        </w:rPr>
      </w:pPr>
    </w:p>
    <w:p w14:paraId="3D9B4DF2" w14:textId="0A0A207F" w:rsidR="004D3F10" w:rsidRDefault="004D3F10" w:rsidP="00A32C31">
      <w:pPr>
        <w:jc w:val="both"/>
        <w:rPr>
          <w:b/>
          <w:sz w:val="28"/>
          <w:szCs w:val="28"/>
          <w:u w:val="single"/>
        </w:rPr>
      </w:pPr>
    </w:p>
    <w:p w14:paraId="418D6AF9" w14:textId="694DAD31" w:rsidR="004D3F10" w:rsidRDefault="004D3F10" w:rsidP="00A32C31">
      <w:pPr>
        <w:jc w:val="both"/>
        <w:rPr>
          <w:b/>
          <w:sz w:val="28"/>
          <w:szCs w:val="28"/>
          <w:u w:val="single"/>
        </w:rPr>
      </w:pPr>
    </w:p>
    <w:p w14:paraId="63FA2FBA" w14:textId="1005E73D" w:rsidR="004D3F10" w:rsidRDefault="004D3F10" w:rsidP="00A32C31">
      <w:pPr>
        <w:jc w:val="both"/>
        <w:rPr>
          <w:b/>
          <w:sz w:val="28"/>
          <w:szCs w:val="28"/>
          <w:u w:val="single"/>
        </w:rPr>
      </w:pPr>
    </w:p>
    <w:p w14:paraId="4D84BB84" w14:textId="781AA52B" w:rsidR="004D3F10" w:rsidRDefault="004D3F10" w:rsidP="00A32C31">
      <w:pPr>
        <w:jc w:val="both"/>
        <w:rPr>
          <w:b/>
          <w:sz w:val="28"/>
          <w:szCs w:val="28"/>
          <w:u w:val="single"/>
        </w:rPr>
      </w:pPr>
    </w:p>
    <w:p w14:paraId="313F6A3E" w14:textId="68DB9DAB" w:rsidR="004D3F10" w:rsidRDefault="004D3F10" w:rsidP="00A32C31">
      <w:pPr>
        <w:jc w:val="both"/>
        <w:rPr>
          <w:b/>
          <w:sz w:val="28"/>
          <w:szCs w:val="28"/>
          <w:u w:val="single"/>
        </w:rPr>
      </w:pPr>
    </w:p>
    <w:p w14:paraId="4C3C9E75" w14:textId="7EAAA744" w:rsidR="004D3F10" w:rsidRDefault="00272033" w:rsidP="00DD14E6">
      <w:pPr>
        <w:ind w:firstLine="720"/>
        <w:jc w:val="center"/>
        <w:rPr>
          <w:b/>
          <w:sz w:val="28"/>
          <w:szCs w:val="28"/>
          <w:u w:val="single"/>
        </w:rPr>
      </w:pPr>
      <w:r>
        <w:rPr>
          <w:noProof/>
        </w:rPr>
        <w:drawing>
          <wp:inline distT="0" distB="0" distL="0" distR="0" wp14:anchorId="63FD9982" wp14:editId="12F70EEF">
            <wp:extent cx="5422900" cy="1889268"/>
            <wp:effectExtent l="0" t="0" r="6350" b="0"/>
            <wp:docPr id="34" name="Picture 34" descr="McCombs School of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Combs School of Busin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763" cy="1897582"/>
                    </a:xfrm>
                    <a:prstGeom prst="rect">
                      <a:avLst/>
                    </a:prstGeom>
                    <a:noFill/>
                    <a:ln>
                      <a:noFill/>
                    </a:ln>
                  </pic:spPr>
                </pic:pic>
              </a:graphicData>
            </a:graphic>
          </wp:inline>
        </w:drawing>
      </w:r>
    </w:p>
    <w:p w14:paraId="28D97B5C" w14:textId="18142289" w:rsidR="004D3F10" w:rsidRDefault="004D3F10" w:rsidP="00DD4997">
      <w:pPr>
        <w:jc w:val="center"/>
        <w:rPr>
          <w:b/>
          <w:sz w:val="28"/>
          <w:szCs w:val="28"/>
          <w:u w:val="single"/>
        </w:rPr>
      </w:pPr>
    </w:p>
    <w:p w14:paraId="577DB1B8" w14:textId="77777777" w:rsidR="00DD14E6" w:rsidRDefault="00DD14E6" w:rsidP="00DD4997">
      <w:pPr>
        <w:jc w:val="center"/>
        <w:rPr>
          <w:b/>
          <w:sz w:val="28"/>
          <w:szCs w:val="28"/>
          <w:u w:val="single"/>
        </w:rPr>
      </w:pPr>
    </w:p>
    <w:p w14:paraId="07965624" w14:textId="77777777" w:rsidR="004D3F10" w:rsidRDefault="004D3F10" w:rsidP="00A32C31">
      <w:pPr>
        <w:jc w:val="both"/>
        <w:rPr>
          <w:b/>
          <w:sz w:val="28"/>
          <w:szCs w:val="28"/>
          <w:u w:val="single"/>
        </w:rPr>
      </w:pPr>
    </w:p>
    <w:p w14:paraId="557DC5F8" w14:textId="7DBE7A76" w:rsidR="004D3F10" w:rsidRPr="00BD5DC8" w:rsidRDefault="004D3F10" w:rsidP="003B65EE">
      <w:pPr>
        <w:jc w:val="center"/>
        <w:rPr>
          <w:bCs/>
          <w:sz w:val="32"/>
          <w:szCs w:val="32"/>
        </w:rPr>
      </w:pPr>
      <w:r w:rsidRPr="00BD5DC8">
        <w:rPr>
          <w:bCs/>
          <w:sz w:val="32"/>
          <w:szCs w:val="32"/>
        </w:rPr>
        <w:t>Optimization Project 1</w:t>
      </w:r>
    </w:p>
    <w:p w14:paraId="2166BC06" w14:textId="699B2824" w:rsidR="004D3F10" w:rsidRPr="004D3F10" w:rsidRDefault="004D3F10" w:rsidP="003B65EE">
      <w:pPr>
        <w:jc w:val="center"/>
        <w:rPr>
          <w:bCs/>
          <w:sz w:val="32"/>
          <w:szCs w:val="32"/>
        </w:rPr>
      </w:pPr>
      <w:r w:rsidRPr="004D3F10">
        <w:rPr>
          <w:bCs/>
          <w:sz w:val="32"/>
          <w:szCs w:val="32"/>
        </w:rPr>
        <w:t>Report on:</w:t>
      </w:r>
    </w:p>
    <w:p w14:paraId="4140F08A" w14:textId="005FEEEF" w:rsidR="004D3F10" w:rsidRPr="004D3F10" w:rsidRDefault="004D3F10" w:rsidP="003B65EE">
      <w:pPr>
        <w:jc w:val="center"/>
        <w:rPr>
          <w:b/>
          <w:sz w:val="32"/>
          <w:szCs w:val="32"/>
          <w:u w:val="single"/>
        </w:rPr>
      </w:pPr>
      <w:r w:rsidRPr="004D3F10">
        <w:rPr>
          <w:b/>
          <w:sz w:val="32"/>
          <w:szCs w:val="32"/>
          <w:u w:val="single"/>
        </w:rPr>
        <w:softHyphen/>
      </w:r>
      <w:r w:rsidRPr="004D3F10">
        <w:rPr>
          <w:b/>
          <w:sz w:val="32"/>
          <w:szCs w:val="32"/>
          <w:u w:val="single"/>
        </w:rPr>
        <w:softHyphen/>
      </w:r>
      <w:r w:rsidRPr="004D3F10">
        <w:rPr>
          <w:b/>
          <w:sz w:val="32"/>
          <w:szCs w:val="32"/>
          <w:u w:val="single"/>
        </w:rPr>
        <w:softHyphen/>
      </w:r>
      <w:r w:rsidRPr="004D3F10">
        <w:rPr>
          <w:b/>
          <w:sz w:val="32"/>
          <w:szCs w:val="32"/>
          <w:u w:val="single"/>
        </w:rPr>
        <w:softHyphen/>
        <w:t>Marketing Budget Allocation Analysis</w:t>
      </w:r>
    </w:p>
    <w:p w14:paraId="7B5DF1FB" w14:textId="5E191C00" w:rsidR="004D3F10" w:rsidRDefault="004D3F10" w:rsidP="00A32C31">
      <w:pPr>
        <w:jc w:val="both"/>
        <w:rPr>
          <w:b/>
          <w:sz w:val="28"/>
          <w:szCs w:val="28"/>
          <w:u w:val="single"/>
        </w:rPr>
      </w:pPr>
    </w:p>
    <w:p w14:paraId="045410EF" w14:textId="77777777" w:rsidR="004D3F10" w:rsidRDefault="004D3F10" w:rsidP="00A32C31">
      <w:pPr>
        <w:jc w:val="both"/>
        <w:rPr>
          <w:b/>
          <w:sz w:val="28"/>
          <w:szCs w:val="28"/>
          <w:u w:val="single"/>
        </w:rPr>
      </w:pPr>
    </w:p>
    <w:p w14:paraId="7E5229F9" w14:textId="77777777" w:rsidR="00DD14E6" w:rsidRDefault="00DD14E6" w:rsidP="005B14BF">
      <w:pPr>
        <w:rPr>
          <w:bCs/>
          <w:sz w:val="28"/>
          <w:szCs w:val="28"/>
        </w:rPr>
      </w:pPr>
    </w:p>
    <w:p w14:paraId="636796E1" w14:textId="08A9C3C8" w:rsidR="00DD14E6" w:rsidRDefault="00DD14E6" w:rsidP="00DD14E6">
      <w:pPr>
        <w:jc w:val="center"/>
        <w:rPr>
          <w:bCs/>
          <w:sz w:val="28"/>
          <w:szCs w:val="28"/>
        </w:rPr>
      </w:pPr>
    </w:p>
    <w:p w14:paraId="73C8866D" w14:textId="77777777" w:rsidR="005B14BF" w:rsidRDefault="005B14BF" w:rsidP="00DD14E6">
      <w:pPr>
        <w:jc w:val="center"/>
        <w:rPr>
          <w:bCs/>
          <w:sz w:val="28"/>
          <w:szCs w:val="28"/>
        </w:rPr>
      </w:pPr>
    </w:p>
    <w:p w14:paraId="2B12BA19" w14:textId="31213E81" w:rsidR="004D3F10" w:rsidRPr="00DC3DBB" w:rsidRDefault="004D3F10" w:rsidP="005B14BF">
      <w:pPr>
        <w:rPr>
          <w:bCs/>
          <w:sz w:val="28"/>
          <w:szCs w:val="28"/>
        </w:rPr>
      </w:pPr>
      <w:r w:rsidRPr="00DC3DBB">
        <w:rPr>
          <w:bCs/>
          <w:sz w:val="28"/>
          <w:szCs w:val="28"/>
        </w:rPr>
        <w:t>-</w:t>
      </w:r>
      <w:r w:rsidR="00DC3DBB" w:rsidRPr="00DC3DBB">
        <w:rPr>
          <w:bCs/>
          <w:sz w:val="28"/>
          <w:szCs w:val="28"/>
        </w:rPr>
        <w:t xml:space="preserve"> </w:t>
      </w:r>
      <w:r w:rsidRPr="00DC3DBB">
        <w:rPr>
          <w:bCs/>
          <w:sz w:val="28"/>
          <w:szCs w:val="28"/>
        </w:rPr>
        <w:t>Sanyam Jain (sj33448)</w:t>
      </w:r>
    </w:p>
    <w:p w14:paraId="5CAB602C" w14:textId="4C7B78D7" w:rsidR="004D3F10" w:rsidRPr="00DC3DBB" w:rsidRDefault="004D3F10" w:rsidP="005B14BF">
      <w:pPr>
        <w:rPr>
          <w:bCs/>
          <w:sz w:val="28"/>
          <w:szCs w:val="28"/>
        </w:rPr>
      </w:pPr>
      <w:r w:rsidRPr="00DC3DBB">
        <w:rPr>
          <w:bCs/>
          <w:sz w:val="28"/>
          <w:szCs w:val="28"/>
        </w:rPr>
        <w:t>-</w:t>
      </w:r>
      <w:r w:rsidR="00DC3DBB" w:rsidRPr="00DC3DBB">
        <w:rPr>
          <w:bCs/>
          <w:sz w:val="28"/>
          <w:szCs w:val="28"/>
        </w:rPr>
        <w:t xml:space="preserve"> </w:t>
      </w:r>
      <w:r w:rsidRPr="00DC3DBB">
        <w:rPr>
          <w:bCs/>
          <w:sz w:val="28"/>
          <w:szCs w:val="28"/>
        </w:rPr>
        <w:t>Mandeep Burdak (</w:t>
      </w:r>
      <w:r w:rsidR="004C726F" w:rsidRPr="00DC3DBB">
        <w:rPr>
          <w:bCs/>
          <w:sz w:val="28"/>
          <w:szCs w:val="28"/>
        </w:rPr>
        <w:t>msb4384</w:t>
      </w:r>
      <w:r w:rsidRPr="00DC3DBB">
        <w:rPr>
          <w:bCs/>
          <w:sz w:val="28"/>
          <w:szCs w:val="28"/>
        </w:rPr>
        <w:t>)</w:t>
      </w:r>
    </w:p>
    <w:p w14:paraId="137CF2B0" w14:textId="416AB37A" w:rsidR="004D3F10" w:rsidRPr="00DC3DBB" w:rsidRDefault="004D3F10" w:rsidP="005B14BF">
      <w:pPr>
        <w:rPr>
          <w:bCs/>
          <w:sz w:val="28"/>
          <w:szCs w:val="28"/>
        </w:rPr>
      </w:pPr>
      <w:r w:rsidRPr="00DC3DBB">
        <w:rPr>
          <w:bCs/>
          <w:sz w:val="28"/>
          <w:szCs w:val="28"/>
        </w:rPr>
        <w:t>-</w:t>
      </w:r>
      <w:r w:rsidR="00DC3DBB" w:rsidRPr="00DC3DBB">
        <w:rPr>
          <w:bCs/>
          <w:sz w:val="28"/>
          <w:szCs w:val="28"/>
        </w:rPr>
        <w:t xml:space="preserve"> </w:t>
      </w:r>
      <w:r w:rsidRPr="00DC3DBB">
        <w:rPr>
          <w:bCs/>
          <w:sz w:val="28"/>
          <w:szCs w:val="28"/>
        </w:rPr>
        <w:t>E</w:t>
      </w:r>
      <w:r w:rsidR="0053382D" w:rsidRPr="00DC3DBB">
        <w:rPr>
          <w:bCs/>
          <w:sz w:val="28"/>
          <w:szCs w:val="28"/>
        </w:rPr>
        <w:t>e</w:t>
      </w:r>
      <w:r w:rsidRPr="00DC3DBB">
        <w:rPr>
          <w:bCs/>
          <w:sz w:val="28"/>
          <w:szCs w:val="28"/>
        </w:rPr>
        <w:t xml:space="preserve">shana </w:t>
      </w:r>
      <w:r w:rsidR="00272033">
        <w:rPr>
          <w:bCs/>
          <w:sz w:val="28"/>
          <w:szCs w:val="28"/>
        </w:rPr>
        <w:t>Ha</w:t>
      </w:r>
      <w:r w:rsidRPr="00DC3DBB">
        <w:rPr>
          <w:bCs/>
          <w:sz w:val="28"/>
          <w:szCs w:val="28"/>
        </w:rPr>
        <w:t>med</w:t>
      </w:r>
      <w:r w:rsidR="0053382D" w:rsidRPr="00DC3DBB">
        <w:rPr>
          <w:bCs/>
          <w:sz w:val="28"/>
          <w:szCs w:val="28"/>
        </w:rPr>
        <w:t xml:space="preserve"> (</w:t>
      </w:r>
      <w:r w:rsidR="004C726F" w:rsidRPr="00DC3DBB">
        <w:rPr>
          <w:bCs/>
          <w:sz w:val="28"/>
          <w:szCs w:val="28"/>
        </w:rPr>
        <w:t>eh28497</w:t>
      </w:r>
      <w:r w:rsidR="0053382D" w:rsidRPr="00DC3DBB">
        <w:rPr>
          <w:bCs/>
          <w:sz w:val="28"/>
          <w:szCs w:val="28"/>
        </w:rPr>
        <w:t>)</w:t>
      </w:r>
    </w:p>
    <w:p w14:paraId="0867FD0C" w14:textId="50357706" w:rsidR="004D3F10" w:rsidRPr="00DC3DBB" w:rsidRDefault="004D3F10" w:rsidP="005B14BF">
      <w:pPr>
        <w:rPr>
          <w:bCs/>
          <w:sz w:val="28"/>
          <w:szCs w:val="28"/>
        </w:rPr>
      </w:pPr>
      <w:r w:rsidRPr="00DC3DBB">
        <w:rPr>
          <w:bCs/>
          <w:sz w:val="28"/>
          <w:szCs w:val="28"/>
        </w:rPr>
        <w:t>-</w:t>
      </w:r>
      <w:r w:rsidR="004C726F" w:rsidRPr="00DC3DBB">
        <w:rPr>
          <w:sz w:val="28"/>
          <w:szCs w:val="28"/>
        </w:rPr>
        <w:t xml:space="preserve"> </w:t>
      </w:r>
      <w:r w:rsidR="004C726F" w:rsidRPr="00DC3DBB">
        <w:rPr>
          <w:bCs/>
          <w:sz w:val="28"/>
          <w:szCs w:val="28"/>
        </w:rPr>
        <w:t xml:space="preserve">Chih-En </w:t>
      </w:r>
      <w:r w:rsidRPr="00DC3DBB">
        <w:rPr>
          <w:bCs/>
          <w:sz w:val="28"/>
          <w:szCs w:val="28"/>
        </w:rPr>
        <w:t>Ko</w:t>
      </w:r>
      <w:r w:rsidR="0053382D" w:rsidRPr="00DC3DBB">
        <w:rPr>
          <w:bCs/>
          <w:sz w:val="28"/>
          <w:szCs w:val="28"/>
        </w:rPr>
        <w:t xml:space="preserve"> </w:t>
      </w:r>
      <w:r w:rsidRPr="00DC3DBB">
        <w:rPr>
          <w:bCs/>
          <w:sz w:val="28"/>
          <w:szCs w:val="28"/>
        </w:rPr>
        <w:t>(</w:t>
      </w:r>
      <w:r w:rsidR="004C726F" w:rsidRPr="00DC3DBB">
        <w:rPr>
          <w:bCs/>
          <w:sz w:val="28"/>
          <w:szCs w:val="28"/>
        </w:rPr>
        <w:t>ck29388</w:t>
      </w:r>
      <w:r w:rsidRPr="00DC3DBB">
        <w:rPr>
          <w:bCs/>
          <w:sz w:val="28"/>
          <w:szCs w:val="28"/>
        </w:rPr>
        <w:t>)</w:t>
      </w:r>
    </w:p>
    <w:p w14:paraId="7A1506BB" w14:textId="13B03F27" w:rsidR="004D3F10" w:rsidRDefault="004D3F10" w:rsidP="00A32C31">
      <w:pPr>
        <w:jc w:val="both"/>
        <w:rPr>
          <w:b/>
          <w:sz w:val="28"/>
          <w:szCs w:val="28"/>
          <w:u w:val="single"/>
        </w:rPr>
      </w:pPr>
    </w:p>
    <w:p w14:paraId="6B738186" w14:textId="77777777" w:rsidR="004D3F10" w:rsidRDefault="004D3F10" w:rsidP="00A32C31">
      <w:pPr>
        <w:jc w:val="both"/>
        <w:rPr>
          <w:b/>
          <w:sz w:val="28"/>
          <w:szCs w:val="28"/>
          <w:u w:val="single"/>
        </w:rPr>
      </w:pPr>
    </w:p>
    <w:p w14:paraId="54E6C294" w14:textId="281A47A4" w:rsidR="004D3F10" w:rsidRDefault="004D3F10" w:rsidP="00A32C31">
      <w:pPr>
        <w:jc w:val="both"/>
        <w:rPr>
          <w:b/>
          <w:sz w:val="28"/>
          <w:szCs w:val="28"/>
          <w:u w:val="single"/>
        </w:rPr>
      </w:pPr>
    </w:p>
    <w:p w14:paraId="133B1581" w14:textId="5CB4AECF" w:rsidR="004D3F10" w:rsidRDefault="004D3F10" w:rsidP="00A32C31">
      <w:pPr>
        <w:jc w:val="both"/>
        <w:rPr>
          <w:b/>
          <w:sz w:val="28"/>
          <w:szCs w:val="28"/>
          <w:u w:val="single"/>
        </w:rPr>
      </w:pPr>
    </w:p>
    <w:p w14:paraId="1AA316D7" w14:textId="7DAFEF33" w:rsidR="004D3F10" w:rsidRDefault="004D3F10" w:rsidP="00A32C31">
      <w:pPr>
        <w:jc w:val="both"/>
        <w:rPr>
          <w:b/>
          <w:sz w:val="28"/>
          <w:szCs w:val="28"/>
          <w:u w:val="single"/>
        </w:rPr>
      </w:pPr>
    </w:p>
    <w:p w14:paraId="61786119" w14:textId="6231F9BC" w:rsidR="004D3F10" w:rsidRDefault="004D3F10" w:rsidP="00A32C31">
      <w:pPr>
        <w:jc w:val="both"/>
        <w:rPr>
          <w:b/>
          <w:sz w:val="28"/>
          <w:szCs w:val="28"/>
          <w:u w:val="single"/>
        </w:rPr>
      </w:pPr>
    </w:p>
    <w:sdt>
      <w:sdtPr>
        <w:rPr>
          <w:color w:val="000000" w:themeColor="text1"/>
        </w:rPr>
        <w:id w:val="-1629924466"/>
        <w:docPartObj>
          <w:docPartGallery w:val="Table of Contents"/>
          <w:docPartUnique/>
        </w:docPartObj>
      </w:sdtPr>
      <w:sdtEndPr>
        <w:rPr>
          <w:rFonts w:ascii="Arial" w:eastAsia="Arial" w:hAnsi="Arial" w:cs="Arial"/>
          <w:b/>
          <w:bCs/>
          <w:noProof/>
          <w:sz w:val="22"/>
          <w:szCs w:val="22"/>
          <w:lang w:val="en"/>
        </w:rPr>
      </w:sdtEndPr>
      <w:sdtContent>
        <w:p w14:paraId="7DB3E400" w14:textId="77777777" w:rsidR="005B14BF" w:rsidRDefault="005B14BF" w:rsidP="004C726F">
          <w:pPr>
            <w:pStyle w:val="TOCHeading"/>
            <w:tabs>
              <w:tab w:val="center" w:pos="5400"/>
            </w:tabs>
            <w:spacing w:line="360" w:lineRule="auto"/>
            <w:rPr>
              <w:color w:val="000000" w:themeColor="text1"/>
            </w:rPr>
          </w:pPr>
        </w:p>
        <w:p w14:paraId="2AED85D0" w14:textId="3B8BCFE9" w:rsidR="005E62D6" w:rsidRPr="00CC3D2C" w:rsidRDefault="005E62D6" w:rsidP="004C726F">
          <w:pPr>
            <w:pStyle w:val="TOCHeading"/>
            <w:tabs>
              <w:tab w:val="center" w:pos="5400"/>
            </w:tabs>
            <w:spacing w:line="360" w:lineRule="auto"/>
            <w:rPr>
              <w:rFonts w:ascii="Arial" w:hAnsi="Arial" w:cs="Arial"/>
              <w:color w:val="000000" w:themeColor="text1"/>
            </w:rPr>
          </w:pPr>
          <w:r w:rsidRPr="00CC3D2C">
            <w:rPr>
              <w:rFonts w:ascii="Arial" w:hAnsi="Arial" w:cs="Arial"/>
              <w:color w:val="000000" w:themeColor="text1"/>
            </w:rPr>
            <w:t>Table of Contents</w:t>
          </w:r>
          <w:r w:rsidR="003719FE" w:rsidRPr="00CC3D2C">
            <w:rPr>
              <w:rFonts w:ascii="Arial" w:hAnsi="Arial" w:cs="Arial"/>
              <w:color w:val="000000" w:themeColor="text1"/>
            </w:rPr>
            <w:tab/>
          </w:r>
        </w:p>
        <w:p w14:paraId="001DD9DD" w14:textId="3013B70C" w:rsidR="004C726F" w:rsidRPr="00CC3D2C" w:rsidRDefault="005E62D6" w:rsidP="004C726F">
          <w:pPr>
            <w:pStyle w:val="TOC2"/>
            <w:ind w:left="0"/>
            <w:rPr>
              <w:rFonts w:ascii="Arial" w:hAnsi="Arial" w:cs="Arial"/>
              <w:noProof/>
              <w:color w:val="000000" w:themeColor="text1"/>
            </w:rPr>
          </w:pPr>
          <w:r w:rsidRPr="00CC3D2C">
            <w:rPr>
              <w:rFonts w:ascii="Arial" w:hAnsi="Arial" w:cs="Arial"/>
              <w:color w:val="000000" w:themeColor="text1"/>
            </w:rPr>
            <w:fldChar w:fldCharType="begin"/>
          </w:r>
          <w:r w:rsidRPr="00CC3D2C">
            <w:rPr>
              <w:rFonts w:ascii="Arial" w:hAnsi="Arial" w:cs="Arial"/>
              <w:color w:val="000000" w:themeColor="text1"/>
            </w:rPr>
            <w:instrText xml:space="preserve"> TOC \o "1-3" \h \z \u </w:instrText>
          </w:r>
          <w:r w:rsidRPr="00CC3D2C">
            <w:rPr>
              <w:rFonts w:ascii="Arial" w:hAnsi="Arial" w:cs="Arial"/>
              <w:color w:val="000000" w:themeColor="text1"/>
            </w:rPr>
            <w:fldChar w:fldCharType="separate"/>
          </w:r>
          <w:hyperlink w:anchor="_Toc146556757" w:history="1">
            <w:r w:rsidR="004C726F" w:rsidRPr="00CC3D2C">
              <w:rPr>
                <w:rStyle w:val="Hyperlink"/>
                <w:rFonts w:ascii="Arial" w:hAnsi="Arial" w:cs="Arial"/>
                <w:b/>
                <w:noProof/>
                <w:color w:val="000000" w:themeColor="text1"/>
              </w:rPr>
              <w:t>Objective</w:t>
            </w:r>
            <w:r w:rsidR="004C726F" w:rsidRPr="00CC3D2C">
              <w:rPr>
                <w:rStyle w:val="Hyperlink"/>
                <w:rFonts w:ascii="Arial" w:hAnsi="Arial" w:cs="Arial"/>
                <w:noProof/>
                <w:color w:val="000000" w:themeColor="text1"/>
              </w:rPr>
              <w:t>:</w:t>
            </w:r>
            <w:r w:rsidR="004C726F" w:rsidRPr="00CC3D2C">
              <w:rPr>
                <w:rFonts w:ascii="Arial" w:hAnsi="Arial" w:cs="Arial"/>
                <w:noProof/>
                <w:webHidden/>
                <w:color w:val="000000" w:themeColor="text1"/>
              </w:rPr>
              <w:tab/>
            </w:r>
            <w:r w:rsidR="004C726F" w:rsidRPr="00CC3D2C">
              <w:rPr>
                <w:rFonts w:ascii="Arial" w:hAnsi="Arial" w:cs="Arial"/>
                <w:noProof/>
                <w:webHidden/>
                <w:color w:val="000000" w:themeColor="text1"/>
              </w:rPr>
              <w:fldChar w:fldCharType="begin"/>
            </w:r>
            <w:r w:rsidR="004C726F" w:rsidRPr="00CC3D2C">
              <w:rPr>
                <w:rFonts w:ascii="Arial" w:hAnsi="Arial" w:cs="Arial"/>
                <w:noProof/>
                <w:webHidden/>
                <w:color w:val="000000" w:themeColor="text1"/>
              </w:rPr>
              <w:instrText xml:space="preserve"> PAGEREF _Toc146556757 \h </w:instrText>
            </w:r>
            <w:r w:rsidR="004C726F" w:rsidRPr="00CC3D2C">
              <w:rPr>
                <w:rFonts w:ascii="Arial" w:hAnsi="Arial" w:cs="Arial"/>
                <w:noProof/>
                <w:webHidden/>
                <w:color w:val="000000" w:themeColor="text1"/>
              </w:rPr>
            </w:r>
            <w:r w:rsidR="004C726F"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3</w:t>
            </w:r>
            <w:r w:rsidR="004C726F" w:rsidRPr="00CC3D2C">
              <w:rPr>
                <w:rFonts w:ascii="Arial" w:hAnsi="Arial" w:cs="Arial"/>
                <w:noProof/>
                <w:webHidden/>
                <w:color w:val="000000" w:themeColor="text1"/>
              </w:rPr>
              <w:fldChar w:fldCharType="end"/>
            </w:r>
          </w:hyperlink>
        </w:p>
        <w:p w14:paraId="143B9CF3" w14:textId="11197635" w:rsidR="004C726F" w:rsidRPr="00CC3D2C" w:rsidRDefault="004C726F" w:rsidP="004C726F">
          <w:pPr>
            <w:pStyle w:val="TOC1"/>
            <w:tabs>
              <w:tab w:val="right" w:leader="dot" w:pos="10790"/>
            </w:tabs>
            <w:spacing w:line="360" w:lineRule="auto"/>
            <w:rPr>
              <w:rFonts w:ascii="Arial" w:hAnsi="Arial" w:cs="Arial"/>
              <w:noProof/>
              <w:color w:val="000000" w:themeColor="text1"/>
            </w:rPr>
          </w:pPr>
          <w:hyperlink w:anchor="_Toc146556758" w:history="1">
            <w:r w:rsidRPr="00CC3D2C">
              <w:rPr>
                <w:rStyle w:val="Hyperlink"/>
                <w:rFonts w:ascii="Arial" w:hAnsi="Arial" w:cs="Arial"/>
                <w:b/>
                <w:noProof/>
                <w:color w:val="000000" w:themeColor="text1"/>
              </w:rPr>
              <w:t>Approach</w:t>
            </w:r>
            <w:r w:rsidRPr="00CC3D2C">
              <w:rPr>
                <w:rStyle w:val="Hyperlink"/>
                <w:rFonts w:ascii="Arial" w:hAnsi="Arial" w:cs="Arial"/>
                <w:bCs/>
                <w:noProof/>
                <w:color w:val="000000" w:themeColor="text1"/>
              </w:rPr>
              <w: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_Toc146556758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3</w:t>
            </w:r>
            <w:r w:rsidRPr="00CC3D2C">
              <w:rPr>
                <w:rFonts w:ascii="Arial" w:hAnsi="Arial" w:cs="Arial"/>
                <w:noProof/>
                <w:webHidden/>
                <w:color w:val="000000" w:themeColor="text1"/>
              </w:rPr>
              <w:fldChar w:fldCharType="end"/>
            </w:r>
          </w:hyperlink>
        </w:p>
        <w:p w14:paraId="4E00C974" w14:textId="45137D7F" w:rsidR="004C726F" w:rsidRPr="00CC3D2C" w:rsidRDefault="004C726F" w:rsidP="004C726F">
          <w:pPr>
            <w:pStyle w:val="TOC2"/>
            <w:ind w:left="0"/>
            <w:rPr>
              <w:rFonts w:ascii="Arial" w:hAnsi="Arial" w:cs="Arial"/>
              <w:noProof/>
              <w:color w:val="000000" w:themeColor="text1"/>
            </w:rPr>
          </w:pPr>
          <w:hyperlink w:anchor="_Toc146556759" w:history="1">
            <w:r w:rsidRPr="00CC3D2C">
              <w:rPr>
                <w:rStyle w:val="Hyperlink"/>
                <w:rFonts w:ascii="Arial" w:hAnsi="Arial" w:cs="Arial"/>
                <w:b/>
                <w:noProof/>
                <w:color w:val="000000" w:themeColor="text1"/>
              </w:rPr>
              <w:t>Results</w:t>
            </w:r>
            <w:r w:rsidRPr="00CC3D2C">
              <w:rPr>
                <w:rStyle w:val="Hyperlink"/>
                <w:rFonts w:ascii="Arial" w:hAnsi="Arial" w:cs="Arial"/>
                <w:bCs/>
                <w:noProof/>
                <w:color w:val="000000" w:themeColor="text1"/>
              </w:rPr>
              <w: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_Toc146556759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4</w:t>
            </w:r>
            <w:r w:rsidRPr="00CC3D2C">
              <w:rPr>
                <w:rFonts w:ascii="Arial" w:hAnsi="Arial" w:cs="Arial"/>
                <w:noProof/>
                <w:webHidden/>
                <w:color w:val="000000" w:themeColor="text1"/>
              </w:rPr>
              <w:fldChar w:fldCharType="end"/>
            </w:r>
          </w:hyperlink>
        </w:p>
        <w:p w14:paraId="0F3D51AC" w14:textId="11FE6ED4" w:rsidR="004C726F" w:rsidRPr="00CC3D2C" w:rsidRDefault="004C726F" w:rsidP="004C726F">
          <w:pPr>
            <w:pStyle w:val="TOC2"/>
            <w:rPr>
              <w:rFonts w:ascii="Arial" w:hAnsi="Arial" w:cs="Arial"/>
              <w:noProof/>
              <w:color w:val="000000" w:themeColor="text1"/>
            </w:rPr>
          </w:pPr>
          <w:hyperlink w:anchor="_Toc146556760" w:history="1">
            <w:r w:rsidRPr="00CC3D2C">
              <w:rPr>
                <w:rStyle w:val="Hyperlink"/>
                <w:rFonts w:ascii="Arial" w:hAnsi="Arial" w:cs="Arial"/>
                <w:noProof/>
                <w:color w:val="000000" w:themeColor="text1"/>
              </w:rPr>
              <w:t>First Firm’s Estimates</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_Toc146556760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4</w:t>
            </w:r>
            <w:r w:rsidRPr="00CC3D2C">
              <w:rPr>
                <w:rFonts w:ascii="Arial" w:hAnsi="Arial" w:cs="Arial"/>
                <w:noProof/>
                <w:webHidden/>
                <w:color w:val="000000" w:themeColor="text1"/>
              </w:rPr>
              <w:fldChar w:fldCharType="end"/>
            </w:r>
          </w:hyperlink>
        </w:p>
        <w:p w14:paraId="3E72FA11" w14:textId="1D03759B" w:rsidR="004C726F" w:rsidRPr="00CC3D2C" w:rsidRDefault="004C726F" w:rsidP="004C726F">
          <w:pPr>
            <w:pStyle w:val="TOC2"/>
            <w:rPr>
              <w:rFonts w:ascii="Arial" w:hAnsi="Arial" w:cs="Arial"/>
              <w:noProof/>
              <w:color w:val="000000" w:themeColor="text1"/>
            </w:rPr>
          </w:pPr>
          <w:hyperlink w:anchor="_Toc146556761" w:history="1">
            <w:r w:rsidRPr="00CC3D2C">
              <w:rPr>
                <w:rStyle w:val="Hyperlink"/>
                <w:rFonts w:ascii="Arial" w:hAnsi="Arial" w:cs="Arial"/>
                <w:noProof/>
                <w:color w:val="000000" w:themeColor="text1"/>
              </w:rPr>
              <w:t>Second Firm’s Estimates</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_Toc146556761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4</w:t>
            </w:r>
            <w:r w:rsidRPr="00CC3D2C">
              <w:rPr>
                <w:rFonts w:ascii="Arial" w:hAnsi="Arial" w:cs="Arial"/>
                <w:noProof/>
                <w:webHidden/>
                <w:color w:val="000000" w:themeColor="text1"/>
              </w:rPr>
              <w:fldChar w:fldCharType="end"/>
            </w:r>
          </w:hyperlink>
        </w:p>
        <w:p w14:paraId="5BF03C0F" w14:textId="6CFC6100" w:rsidR="004C726F" w:rsidRPr="00CC3D2C" w:rsidRDefault="004C726F" w:rsidP="004C726F">
          <w:pPr>
            <w:pStyle w:val="TOC2"/>
            <w:rPr>
              <w:rFonts w:ascii="Arial" w:hAnsi="Arial" w:cs="Arial"/>
              <w:noProof/>
              <w:color w:val="000000" w:themeColor="text1"/>
            </w:rPr>
          </w:pPr>
          <w:hyperlink w:anchor="_Toc146556762" w:history="1">
            <w:r w:rsidRPr="00CC3D2C">
              <w:rPr>
                <w:rStyle w:val="Hyperlink"/>
                <w:rFonts w:ascii="Arial" w:hAnsi="Arial" w:cs="Arial"/>
                <w:noProof/>
                <w:color w:val="000000" w:themeColor="text1"/>
              </w:rPr>
              <w:t>First Allocation v/s Second Allocation</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_Toc146556762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5</w:t>
            </w:r>
            <w:r w:rsidRPr="00CC3D2C">
              <w:rPr>
                <w:rFonts w:ascii="Arial" w:hAnsi="Arial" w:cs="Arial"/>
                <w:noProof/>
                <w:webHidden/>
                <w:color w:val="000000" w:themeColor="text1"/>
              </w:rPr>
              <w:fldChar w:fldCharType="end"/>
            </w:r>
          </w:hyperlink>
        </w:p>
        <w:p w14:paraId="2A3CFC25" w14:textId="1D543686" w:rsidR="004C726F" w:rsidRPr="00CC3D2C" w:rsidRDefault="004C726F" w:rsidP="004C726F">
          <w:pPr>
            <w:pStyle w:val="TOC2"/>
            <w:rPr>
              <w:rFonts w:ascii="Arial" w:hAnsi="Arial" w:cs="Arial"/>
              <w:noProof/>
              <w:color w:val="000000" w:themeColor="text1"/>
            </w:rPr>
          </w:pPr>
          <w:hyperlink w:anchor="_Toc146556763" w:history="1">
            <w:r w:rsidRPr="00CC3D2C">
              <w:rPr>
                <w:rStyle w:val="Hyperlink"/>
                <w:rFonts w:ascii="Arial" w:hAnsi="Arial" w:cs="Arial"/>
                <w:noProof/>
                <w:color w:val="000000" w:themeColor="text1"/>
              </w:rPr>
              <w:t>CMO’s recommended constraint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_Toc146556763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5</w:t>
            </w:r>
            <w:r w:rsidRPr="00CC3D2C">
              <w:rPr>
                <w:rFonts w:ascii="Arial" w:hAnsi="Arial" w:cs="Arial"/>
                <w:noProof/>
                <w:webHidden/>
                <w:color w:val="000000" w:themeColor="text1"/>
              </w:rPr>
              <w:fldChar w:fldCharType="end"/>
            </w:r>
          </w:hyperlink>
        </w:p>
        <w:p w14:paraId="00A1D21D" w14:textId="551D0ADC" w:rsidR="004C726F" w:rsidRPr="00CC3D2C" w:rsidRDefault="004C726F" w:rsidP="004C726F">
          <w:pPr>
            <w:pStyle w:val="TOC1"/>
            <w:tabs>
              <w:tab w:val="right" w:leader="dot" w:pos="10790"/>
            </w:tabs>
            <w:spacing w:line="360" w:lineRule="auto"/>
            <w:rPr>
              <w:rFonts w:ascii="Arial" w:hAnsi="Arial" w:cs="Arial"/>
              <w:noProof/>
              <w:color w:val="000000" w:themeColor="text1"/>
            </w:rPr>
          </w:pPr>
          <w:hyperlink w:anchor="_Toc146556764" w:history="1">
            <w:r w:rsidRPr="00CC3D2C">
              <w:rPr>
                <w:rStyle w:val="Hyperlink"/>
                <w:rFonts w:ascii="Arial" w:hAnsi="Arial" w:cs="Arial"/>
                <w:b/>
                <w:noProof/>
                <w:color w:val="000000" w:themeColor="text1"/>
              </w:rPr>
              <w:t>Sensitivity Analysis</w:t>
            </w:r>
            <w:r w:rsidRPr="00CC3D2C">
              <w:rPr>
                <w:rStyle w:val="Hyperlink"/>
                <w:rFonts w:ascii="Arial" w:hAnsi="Arial" w:cs="Arial"/>
                <w:noProof/>
                <w:color w:val="000000" w:themeColor="text1"/>
              </w:rPr>
              <w: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_Toc146556764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6</w:t>
            </w:r>
            <w:r w:rsidRPr="00CC3D2C">
              <w:rPr>
                <w:rFonts w:ascii="Arial" w:hAnsi="Arial" w:cs="Arial"/>
                <w:noProof/>
                <w:webHidden/>
                <w:color w:val="000000" w:themeColor="text1"/>
              </w:rPr>
              <w:fldChar w:fldCharType="end"/>
            </w:r>
          </w:hyperlink>
        </w:p>
        <w:p w14:paraId="5B065EA0" w14:textId="03FADAE2" w:rsidR="004C726F" w:rsidRPr="00CC3D2C" w:rsidRDefault="004C726F" w:rsidP="004C726F">
          <w:pPr>
            <w:pStyle w:val="TOC2"/>
            <w:ind w:left="0"/>
            <w:rPr>
              <w:rFonts w:ascii="Arial" w:hAnsi="Arial" w:cs="Arial"/>
              <w:noProof/>
              <w:color w:val="000000" w:themeColor="text1"/>
            </w:rPr>
          </w:pPr>
          <w:hyperlink w:anchor="_Toc146556765" w:history="1">
            <w:r w:rsidRPr="00CC3D2C">
              <w:rPr>
                <w:rStyle w:val="Hyperlink"/>
                <w:rFonts w:ascii="Arial" w:hAnsi="Arial" w:cs="Arial"/>
                <w:b/>
                <w:noProof/>
                <w:color w:val="000000" w:themeColor="text1"/>
                <w:highlight w:val="white"/>
              </w:rPr>
              <w:t>Reinvesting Returns</w:t>
            </w:r>
            <w:r w:rsidRPr="00CC3D2C">
              <w:rPr>
                <w:rStyle w:val="Hyperlink"/>
                <w:rFonts w:ascii="Arial" w:hAnsi="Arial" w:cs="Arial"/>
                <w:noProof/>
                <w:color w:val="000000" w:themeColor="text1"/>
                <w:highlight w:val="white"/>
              </w:rPr>
              <w: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_Toc146556765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7</w:t>
            </w:r>
            <w:r w:rsidRPr="00CC3D2C">
              <w:rPr>
                <w:rFonts w:ascii="Arial" w:hAnsi="Arial" w:cs="Arial"/>
                <w:noProof/>
                <w:webHidden/>
                <w:color w:val="000000" w:themeColor="text1"/>
              </w:rPr>
              <w:fldChar w:fldCharType="end"/>
            </w:r>
          </w:hyperlink>
        </w:p>
        <w:p w14:paraId="1E6913E5" w14:textId="5E91A9E4" w:rsidR="004C726F" w:rsidRPr="00CC3D2C" w:rsidRDefault="004C726F" w:rsidP="004C726F">
          <w:pPr>
            <w:pStyle w:val="TOC2"/>
            <w:ind w:left="0"/>
            <w:rPr>
              <w:rFonts w:ascii="Arial" w:hAnsi="Arial" w:cs="Arial"/>
              <w:noProof/>
              <w:color w:val="000000" w:themeColor="text1"/>
            </w:rPr>
          </w:pPr>
          <w:hyperlink w:anchor="_Toc146556766" w:history="1">
            <w:r w:rsidRPr="00CC3D2C">
              <w:rPr>
                <w:rStyle w:val="Hyperlink"/>
                <w:rFonts w:ascii="Arial" w:hAnsi="Arial" w:cs="Arial"/>
                <w:b/>
                <w:noProof/>
                <w:color w:val="000000" w:themeColor="text1"/>
              </w:rPr>
              <w:t>Budget Stability</w:t>
            </w:r>
            <w:r w:rsidRPr="00CC3D2C">
              <w:rPr>
                <w:rStyle w:val="Hyperlink"/>
                <w:rFonts w:ascii="Arial" w:hAnsi="Arial" w:cs="Arial"/>
                <w:noProof/>
                <w:color w:val="000000" w:themeColor="text1"/>
              </w:rPr>
              <w:t>:</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_Toc146556766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8</w:t>
            </w:r>
            <w:r w:rsidRPr="00CC3D2C">
              <w:rPr>
                <w:rFonts w:ascii="Arial" w:hAnsi="Arial" w:cs="Arial"/>
                <w:noProof/>
                <w:webHidden/>
                <w:color w:val="000000" w:themeColor="text1"/>
              </w:rPr>
              <w:fldChar w:fldCharType="end"/>
            </w:r>
          </w:hyperlink>
        </w:p>
        <w:p w14:paraId="402CE91F" w14:textId="5A3A1128" w:rsidR="004C726F" w:rsidRPr="00CC3D2C" w:rsidRDefault="004C726F" w:rsidP="004C726F">
          <w:pPr>
            <w:pStyle w:val="TOC1"/>
            <w:tabs>
              <w:tab w:val="right" w:leader="dot" w:pos="10790"/>
            </w:tabs>
            <w:spacing w:line="360" w:lineRule="auto"/>
            <w:rPr>
              <w:rFonts w:ascii="Arial" w:hAnsi="Arial" w:cs="Arial"/>
              <w:noProof/>
              <w:color w:val="000000" w:themeColor="text1"/>
            </w:rPr>
          </w:pPr>
          <w:hyperlink w:anchor="_Toc146556767" w:history="1">
            <w:r w:rsidRPr="00CC3D2C">
              <w:rPr>
                <w:rStyle w:val="Hyperlink"/>
                <w:rFonts w:ascii="Arial" w:hAnsi="Arial" w:cs="Arial"/>
                <w:b/>
                <w:noProof/>
                <w:color w:val="000000" w:themeColor="text1"/>
              </w:rPr>
              <w:t>Conclusion:</w:t>
            </w:r>
            <w:r w:rsidRPr="00CC3D2C">
              <w:rPr>
                <w:rFonts w:ascii="Arial" w:hAnsi="Arial" w:cs="Arial"/>
                <w:noProof/>
                <w:webHidden/>
                <w:color w:val="000000" w:themeColor="text1"/>
              </w:rPr>
              <w:tab/>
            </w:r>
            <w:r w:rsidRPr="00CC3D2C">
              <w:rPr>
                <w:rFonts w:ascii="Arial" w:hAnsi="Arial" w:cs="Arial"/>
                <w:noProof/>
                <w:webHidden/>
                <w:color w:val="000000" w:themeColor="text1"/>
              </w:rPr>
              <w:fldChar w:fldCharType="begin"/>
            </w:r>
            <w:r w:rsidRPr="00CC3D2C">
              <w:rPr>
                <w:rFonts w:ascii="Arial" w:hAnsi="Arial" w:cs="Arial"/>
                <w:noProof/>
                <w:webHidden/>
                <w:color w:val="000000" w:themeColor="text1"/>
              </w:rPr>
              <w:instrText xml:space="preserve"> PAGEREF _Toc146556767 \h </w:instrText>
            </w:r>
            <w:r w:rsidRPr="00CC3D2C">
              <w:rPr>
                <w:rFonts w:ascii="Arial" w:hAnsi="Arial" w:cs="Arial"/>
                <w:noProof/>
                <w:webHidden/>
                <w:color w:val="000000" w:themeColor="text1"/>
              </w:rPr>
            </w:r>
            <w:r w:rsidRPr="00CC3D2C">
              <w:rPr>
                <w:rFonts w:ascii="Arial" w:hAnsi="Arial" w:cs="Arial"/>
                <w:noProof/>
                <w:webHidden/>
                <w:color w:val="000000" w:themeColor="text1"/>
              </w:rPr>
              <w:fldChar w:fldCharType="separate"/>
            </w:r>
            <w:r w:rsidR="00DD4B88">
              <w:rPr>
                <w:rFonts w:ascii="Arial" w:hAnsi="Arial" w:cs="Arial"/>
                <w:noProof/>
                <w:webHidden/>
                <w:color w:val="000000" w:themeColor="text1"/>
              </w:rPr>
              <w:t>8</w:t>
            </w:r>
            <w:r w:rsidRPr="00CC3D2C">
              <w:rPr>
                <w:rFonts w:ascii="Arial" w:hAnsi="Arial" w:cs="Arial"/>
                <w:noProof/>
                <w:webHidden/>
                <w:color w:val="000000" w:themeColor="text1"/>
              </w:rPr>
              <w:fldChar w:fldCharType="end"/>
            </w:r>
          </w:hyperlink>
        </w:p>
        <w:p w14:paraId="75333462" w14:textId="15F81531" w:rsidR="005E62D6" w:rsidRDefault="005E62D6" w:rsidP="004C726F">
          <w:pPr>
            <w:spacing w:line="360" w:lineRule="auto"/>
          </w:pPr>
          <w:r w:rsidRPr="00CC3D2C">
            <w:rPr>
              <w:b/>
              <w:bCs/>
              <w:noProof/>
              <w:color w:val="000000" w:themeColor="text1"/>
            </w:rPr>
            <w:fldChar w:fldCharType="end"/>
          </w:r>
        </w:p>
      </w:sdtContent>
    </w:sdt>
    <w:p w14:paraId="3E195773" w14:textId="77777777" w:rsidR="00117902" w:rsidRDefault="00117902">
      <w:pPr>
        <w:rPr>
          <w:b/>
          <w:bCs/>
          <w:noProof/>
        </w:rPr>
      </w:pPr>
      <w:r>
        <w:rPr>
          <w:b/>
          <w:bCs/>
          <w:noProof/>
        </w:rPr>
        <w:br w:type="page"/>
      </w:r>
    </w:p>
    <w:p w14:paraId="3EA57D01" w14:textId="2C3301C6" w:rsidR="00875394" w:rsidRPr="00FE47B5" w:rsidRDefault="00A32C31" w:rsidP="005F10B0">
      <w:pPr>
        <w:pStyle w:val="Heading2"/>
      </w:pPr>
      <w:bookmarkStart w:id="0" w:name="_Toc146556757"/>
      <w:r w:rsidRPr="005F10B0">
        <w:rPr>
          <w:rStyle w:val="headings1Char"/>
        </w:rPr>
        <w:lastRenderedPageBreak/>
        <w:t>O</w:t>
      </w:r>
      <w:r w:rsidR="00FE47B5" w:rsidRPr="005F10B0">
        <w:rPr>
          <w:rStyle w:val="headings1Char"/>
        </w:rPr>
        <w:t>bjective</w:t>
      </w:r>
      <w:r w:rsidR="007E437E">
        <w:t>:</w:t>
      </w:r>
      <w:bookmarkEnd w:id="0"/>
    </w:p>
    <w:p w14:paraId="6DB95472" w14:textId="064B58BA" w:rsidR="00875394" w:rsidRDefault="00000000" w:rsidP="00A32C31">
      <w:pPr>
        <w:jc w:val="both"/>
      </w:pPr>
      <w:r>
        <w:t xml:space="preserve">As the budget season is approaching, we undertook an analysis of how to spend our marketing budget on different mediums. We had a budget of $10M, which was to be distributed among the 10 potential channels. </w:t>
      </w:r>
      <w:r w:rsidR="007E437E">
        <w:t>This study aimed</w:t>
      </w:r>
      <w:r>
        <w:t xml:space="preserve"> to maximize the ROI received from the expenditure.</w:t>
      </w:r>
    </w:p>
    <w:p w14:paraId="33403268" w14:textId="26E297D2" w:rsidR="00FE47B5" w:rsidRPr="00FE47B5" w:rsidRDefault="00FE47B5" w:rsidP="005F10B0">
      <w:pPr>
        <w:pStyle w:val="Heading1"/>
        <w:rPr>
          <w:bCs/>
        </w:rPr>
      </w:pPr>
      <w:bookmarkStart w:id="1" w:name="_Toc146556758"/>
      <w:r w:rsidRPr="005F10B0">
        <w:rPr>
          <w:rStyle w:val="headings1Char"/>
        </w:rPr>
        <w:t>Approach</w:t>
      </w:r>
      <w:r w:rsidR="007E437E">
        <w:rPr>
          <w:bCs/>
        </w:rPr>
        <w:t>:</w:t>
      </w:r>
      <w:bookmarkEnd w:id="1"/>
    </w:p>
    <w:p w14:paraId="0EAEF711" w14:textId="77777777" w:rsidR="00875394" w:rsidRDefault="00000000" w:rsidP="00A32C31">
      <w:pPr>
        <w:jc w:val="both"/>
      </w:pPr>
      <w:r>
        <w:t>To begin, we hired a consulting firm to conduct a study on the projected ROIs for these channels for the next year. The results of the study were as follows:</w:t>
      </w:r>
    </w:p>
    <w:p w14:paraId="69490165" w14:textId="77777777" w:rsidR="00875394" w:rsidRDefault="00875394" w:rsidP="00A32C31">
      <w:pPr>
        <w:jc w:val="both"/>
      </w:pPr>
    </w:p>
    <w:p w14:paraId="30C75EB4" w14:textId="37AEDC7E" w:rsidR="00875394" w:rsidRDefault="00712D30" w:rsidP="00A32C31">
      <w:pPr>
        <w:jc w:val="both"/>
      </w:pPr>
      <w:r>
        <w:rPr>
          <w:noProof/>
          <w:color w:val="000000"/>
          <w:bdr w:val="none" w:sz="0" w:space="0" w:color="auto" w:frame="1"/>
        </w:rPr>
        <w:drawing>
          <wp:inline distT="0" distB="0" distL="0" distR="0" wp14:anchorId="12F60FB6" wp14:editId="43A90E5E">
            <wp:extent cx="5148888" cy="3187700"/>
            <wp:effectExtent l="19050" t="19050" r="13970" b="12700"/>
            <wp:docPr id="3" name="Picture 3" descr="A graph of blue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blue bars with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933" cy="3195776"/>
                    </a:xfrm>
                    <a:prstGeom prst="rect">
                      <a:avLst/>
                    </a:prstGeom>
                    <a:noFill/>
                    <a:ln>
                      <a:solidFill>
                        <a:schemeClr val="bg1">
                          <a:lumMod val="75000"/>
                        </a:schemeClr>
                      </a:solidFill>
                    </a:ln>
                  </pic:spPr>
                </pic:pic>
              </a:graphicData>
            </a:graphic>
          </wp:inline>
        </w:drawing>
      </w:r>
    </w:p>
    <w:p w14:paraId="4A4DACA2" w14:textId="77777777" w:rsidR="00CC3D2C" w:rsidRDefault="00CC3D2C" w:rsidP="00A32C31">
      <w:pPr>
        <w:jc w:val="both"/>
      </w:pPr>
    </w:p>
    <w:p w14:paraId="6B88DF27" w14:textId="62A47EA2" w:rsidR="00875394" w:rsidRDefault="00000000" w:rsidP="00A32C31">
      <w:pPr>
        <w:jc w:val="both"/>
      </w:pPr>
      <w:r>
        <w:t xml:space="preserve">It is clear from the data that TV, Instagram, and Email are the most lucrative options for us. </w:t>
      </w:r>
      <w:r w:rsidR="003D57CE">
        <w:t>On</w:t>
      </w:r>
      <w:r>
        <w:t xml:space="preserve"> top of this, we utilized the expertise of our CMO to come up with some constraints based on their domain knowledge, which were as follows:</w:t>
      </w:r>
    </w:p>
    <w:p w14:paraId="7CE5CB1C" w14:textId="77777777" w:rsidR="00875394" w:rsidRDefault="00875394" w:rsidP="00A32C31">
      <w:pPr>
        <w:jc w:val="both"/>
      </w:pPr>
    </w:p>
    <w:p w14:paraId="16ADD966" w14:textId="77777777" w:rsidR="00875394" w:rsidRDefault="00000000" w:rsidP="00A32C31">
      <w:pPr>
        <w:numPr>
          <w:ilvl w:val="0"/>
          <w:numId w:val="1"/>
        </w:numPr>
        <w:jc w:val="both"/>
      </w:pPr>
      <w:r>
        <w:t>The amount invested in print and TV should be no more than the amount spent on Facebook and Email. Surprisingly, email seems to be a great channel for reaching real people.</w:t>
      </w:r>
    </w:p>
    <w:p w14:paraId="2679EB02" w14:textId="77777777" w:rsidR="00875394" w:rsidRDefault="00000000" w:rsidP="00A32C31">
      <w:pPr>
        <w:numPr>
          <w:ilvl w:val="0"/>
          <w:numId w:val="1"/>
        </w:numPr>
        <w:jc w:val="both"/>
      </w:pPr>
      <w:r>
        <w:t>The total amount used in social media (Facebook, LinkedIn, Instagram, Snapchat, and Twitter) should be at least twice of SEO and AdWords.</w:t>
      </w:r>
    </w:p>
    <w:p w14:paraId="2E39741C" w14:textId="77777777" w:rsidR="00875394" w:rsidRDefault="00000000" w:rsidP="00A32C31">
      <w:pPr>
        <w:numPr>
          <w:ilvl w:val="0"/>
          <w:numId w:val="1"/>
        </w:numPr>
        <w:jc w:val="both"/>
      </w:pPr>
      <w:r>
        <w:t>For each platform, the amount invested should be no more than $3M.</w:t>
      </w:r>
    </w:p>
    <w:p w14:paraId="6D281B7A" w14:textId="77777777" w:rsidR="00875394" w:rsidRDefault="00875394" w:rsidP="00A32C31">
      <w:pPr>
        <w:jc w:val="both"/>
      </w:pPr>
    </w:p>
    <w:p w14:paraId="36B31833" w14:textId="27881C41" w:rsidR="00875394" w:rsidRDefault="00000000" w:rsidP="00A32C31">
      <w:pPr>
        <w:jc w:val="both"/>
      </w:pPr>
      <w:r>
        <w:t>With this data and domain knowledge in hand</w:t>
      </w:r>
      <w:r w:rsidR="008E3AFC">
        <w:t>,</w:t>
      </w:r>
      <w:r>
        <w:t xml:space="preserve"> we designed an Optimization model with the objective of maximizing our ROI. The results were as follows:</w:t>
      </w:r>
    </w:p>
    <w:p w14:paraId="712051F4" w14:textId="7FF4E111" w:rsidR="00FE47B5" w:rsidRDefault="00FE47B5" w:rsidP="00A32C31">
      <w:pPr>
        <w:jc w:val="both"/>
      </w:pPr>
    </w:p>
    <w:p w14:paraId="10CC0051" w14:textId="77777777" w:rsidR="00FE47B5" w:rsidRDefault="00FE47B5" w:rsidP="00A32C31">
      <w:pPr>
        <w:jc w:val="both"/>
        <w:rPr>
          <w:b/>
          <w:bCs/>
          <w:sz w:val="28"/>
          <w:szCs w:val="28"/>
        </w:rPr>
      </w:pPr>
    </w:p>
    <w:p w14:paraId="6D6A8181" w14:textId="77777777" w:rsidR="00FE47B5" w:rsidRDefault="00FE47B5" w:rsidP="00A32C31">
      <w:pPr>
        <w:jc w:val="both"/>
        <w:rPr>
          <w:b/>
          <w:bCs/>
          <w:sz w:val="28"/>
          <w:szCs w:val="28"/>
        </w:rPr>
      </w:pPr>
    </w:p>
    <w:p w14:paraId="0896A6F7" w14:textId="77777777" w:rsidR="00FE47B5" w:rsidRDefault="00FE47B5" w:rsidP="00A32C31">
      <w:pPr>
        <w:jc w:val="both"/>
        <w:rPr>
          <w:b/>
          <w:bCs/>
          <w:sz w:val="28"/>
          <w:szCs w:val="28"/>
        </w:rPr>
      </w:pPr>
    </w:p>
    <w:p w14:paraId="6E0C8B0E" w14:textId="22F847A9" w:rsidR="007E57FD" w:rsidRDefault="00FE47B5" w:rsidP="001B6672">
      <w:pPr>
        <w:pStyle w:val="Heading2"/>
        <w:spacing w:line="240" w:lineRule="auto"/>
        <w:rPr>
          <w:bCs/>
        </w:rPr>
      </w:pPr>
      <w:bookmarkStart w:id="2" w:name="_Toc146556759"/>
      <w:r w:rsidRPr="005F10B0">
        <w:rPr>
          <w:rStyle w:val="headings1Char"/>
        </w:rPr>
        <w:lastRenderedPageBreak/>
        <w:t>Results</w:t>
      </w:r>
      <w:r w:rsidR="007E57FD">
        <w:rPr>
          <w:bCs/>
        </w:rPr>
        <w:t>:</w:t>
      </w:r>
      <w:bookmarkEnd w:id="2"/>
      <w:r w:rsidR="007E57FD">
        <w:rPr>
          <w:bCs/>
        </w:rPr>
        <w:t xml:space="preserve"> </w:t>
      </w:r>
    </w:p>
    <w:p w14:paraId="5F245D66" w14:textId="0CC7F4F1" w:rsidR="00FE47B5" w:rsidRPr="005E62D6" w:rsidRDefault="007E57FD" w:rsidP="001B6672">
      <w:pPr>
        <w:pStyle w:val="Heading2"/>
        <w:spacing w:line="240" w:lineRule="auto"/>
        <w:rPr>
          <w:color w:val="7F7F7F" w:themeColor="text1" w:themeTint="80"/>
          <w:sz w:val="24"/>
          <w:szCs w:val="24"/>
          <w:u w:val="single"/>
        </w:rPr>
      </w:pPr>
      <w:bookmarkStart w:id="3" w:name="_Toc146556760"/>
      <w:r w:rsidRPr="005E62D6">
        <w:rPr>
          <w:color w:val="7F7F7F" w:themeColor="text1" w:themeTint="80"/>
          <w:sz w:val="24"/>
          <w:szCs w:val="24"/>
          <w:u w:val="single"/>
        </w:rPr>
        <w:t>First Firm’s Estimates</w:t>
      </w:r>
      <w:bookmarkEnd w:id="3"/>
    </w:p>
    <w:p w14:paraId="706B4AE0" w14:textId="1AD7BAF4" w:rsidR="00FE47B5" w:rsidRDefault="00712D30" w:rsidP="00A32C31">
      <w:pPr>
        <w:jc w:val="both"/>
      </w:pPr>
      <w:r>
        <w:rPr>
          <w:noProof/>
          <w:color w:val="000000"/>
          <w:bdr w:val="none" w:sz="0" w:space="0" w:color="auto" w:frame="1"/>
        </w:rPr>
        <w:drawing>
          <wp:inline distT="0" distB="0" distL="0" distR="0" wp14:anchorId="12E04B96" wp14:editId="0170B54B">
            <wp:extent cx="4787900" cy="2963938"/>
            <wp:effectExtent l="19050" t="19050" r="12700" b="27305"/>
            <wp:docPr id="4" name="Picture 4" descr="A graph of 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with numbers and 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4677" cy="2980514"/>
                    </a:xfrm>
                    <a:prstGeom prst="rect">
                      <a:avLst/>
                    </a:prstGeom>
                    <a:noFill/>
                    <a:ln>
                      <a:solidFill>
                        <a:schemeClr val="bg1">
                          <a:lumMod val="75000"/>
                        </a:schemeClr>
                      </a:solidFill>
                    </a:ln>
                  </pic:spPr>
                </pic:pic>
              </a:graphicData>
            </a:graphic>
          </wp:inline>
        </w:drawing>
      </w:r>
    </w:p>
    <w:p w14:paraId="2E6B7615" w14:textId="77777777" w:rsidR="00FE47B5" w:rsidRDefault="00FE47B5" w:rsidP="00A32C31">
      <w:pPr>
        <w:jc w:val="both"/>
      </w:pPr>
    </w:p>
    <w:p w14:paraId="40C38CF9" w14:textId="31FA47DB" w:rsidR="007E57FD" w:rsidRDefault="00000000" w:rsidP="00A32C31">
      <w:pPr>
        <w:jc w:val="both"/>
      </w:pPr>
      <w:r>
        <w:t xml:space="preserve">This allocation was made according to the constraints present, and it maximizes our ROI to a value of $456,000. </w:t>
      </w:r>
      <w:r w:rsidR="007E57FD">
        <w:t>We can see the optimal solution is skewed with TV, Instagram</w:t>
      </w:r>
      <w:r w:rsidR="008E3AFC">
        <w:t>,</w:t>
      </w:r>
      <w:r w:rsidR="007E57FD">
        <w:t xml:space="preserve"> and Email being allotted the majority share of the budget.</w:t>
      </w:r>
    </w:p>
    <w:p w14:paraId="14BFBD31" w14:textId="723F7931" w:rsidR="007E57FD" w:rsidRPr="005E62D6" w:rsidRDefault="007E57FD" w:rsidP="00117902">
      <w:pPr>
        <w:pStyle w:val="Heading2"/>
        <w:rPr>
          <w:color w:val="7F7F7F" w:themeColor="text1" w:themeTint="80"/>
          <w:sz w:val="24"/>
          <w:szCs w:val="24"/>
          <w:u w:val="single"/>
        </w:rPr>
      </w:pPr>
      <w:bookmarkStart w:id="4" w:name="_Toc146556761"/>
      <w:r w:rsidRPr="005E62D6">
        <w:rPr>
          <w:color w:val="7F7F7F" w:themeColor="text1" w:themeTint="80"/>
          <w:sz w:val="24"/>
          <w:szCs w:val="24"/>
          <w:u w:val="single"/>
        </w:rPr>
        <w:t>Second Firm’s Estimates</w:t>
      </w:r>
      <w:bookmarkEnd w:id="4"/>
    </w:p>
    <w:p w14:paraId="0C43AC1B" w14:textId="1F6F4F09" w:rsidR="00875394" w:rsidRDefault="007E57FD" w:rsidP="00A32C31">
      <w:pPr>
        <w:jc w:val="both"/>
      </w:pPr>
      <w:r>
        <w:t>One should gather wisdom from many sources as wisdom gained from only one source can become stale, and our CMO had exactly that thought when he sought a second consulting firm to conduct another ROI study for the same set of channels. The second firm came back to us with these results:</w:t>
      </w:r>
    </w:p>
    <w:p w14:paraId="0C37C85E" w14:textId="77777777" w:rsidR="003719FE" w:rsidRDefault="003719FE" w:rsidP="00A32C31">
      <w:pPr>
        <w:jc w:val="both"/>
      </w:pPr>
    </w:p>
    <w:p w14:paraId="1B2E330B" w14:textId="107F1B83" w:rsidR="00875394" w:rsidRDefault="00712D30" w:rsidP="00A32C31">
      <w:pPr>
        <w:jc w:val="both"/>
      </w:pPr>
      <w:r>
        <w:rPr>
          <w:noProof/>
          <w:color w:val="000000"/>
          <w:bdr w:val="none" w:sz="0" w:space="0" w:color="auto" w:frame="1"/>
        </w:rPr>
        <w:drawing>
          <wp:inline distT="0" distB="0" distL="0" distR="0" wp14:anchorId="6AEC6F03" wp14:editId="463E8336">
            <wp:extent cx="4889500" cy="3019370"/>
            <wp:effectExtent l="19050" t="19050" r="25400" b="10160"/>
            <wp:docPr id="7" name="Picture 7"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ue bars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9500" cy="3019370"/>
                    </a:xfrm>
                    <a:prstGeom prst="rect">
                      <a:avLst/>
                    </a:prstGeom>
                    <a:noFill/>
                    <a:ln>
                      <a:solidFill>
                        <a:schemeClr val="bg1">
                          <a:lumMod val="75000"/>
                        </a:schemeClr>
                      </a:solidFill>
                    </a:ln>
                  </pic:spPr>
                </pic:pic>
              </a:graphicData>
            </a:graphic>
          </wp:inline>
        </w:drawing>
      </w:r>
    </w:p>
    <w:p w14:paraId="5668FF6B" w14:textId="77777777" w:rsidR="00875394" w:rsidRDefault="00875394" w:rsidP="00A32C31">
      <w:pPr>
        <w:jc w:val="both"/>
      </w:pPr>
    </w:p>
    <w:p w14:paraId="151B7E38" w14:textId="7725C15E" w:rsidR="00875394" w:rsidRDefault="00000000" w:rsidP="00A32C31">
      <w:pPr>
        <w:jc w:val="both"/>
      </w:pPr>
      <w:r>
        <w:t xml:space="preserve">These results were clearly disparate from the number reported by the first firm, therefore we decided to repeat the optimization process with these ROIs to see the change that </w:t>
      </w:r>
      <w:r w:rsidR="00657C0F">
        <w:t>could</w:t>
      </w:r>
      <w:r>
        <w:t xml:space="preserve"> happen in our allocation and objective. The results of the second run were as follows:</w:t>
      </w:r>
    </w:p>
    <w:p w14:paraId="2574CC22" w14:textId="77777777" w:rsidR="007E57FD" w:rsidRDefault="007E57FD" w:rsidP="00A32C31">
      <w:pPr>
        <w:jc w:val="both"/>
      </w:pPr>
    </w:p>
    <w:p w14:paraId="777089B4" w14:textId="45310578" w:rsidR="00875394" w:rsidRDefault="00712D30" w:rsidP="00A32C31">
      <w:pPr>
        <w:jc w:val="both"/>
      </w:pPr>
      <w:r>
        <w:rPr>
          <w:noProof/>
          <w:color w:val="000000"/>
          <w:bdr w:val="none" w:sz="0" w:space="0" w:color="auto" w:frame="1"/>
        </w:rPr>
        <w:drawing>
          <wp:inline distT="0" distB="0" distL="0" distR="0" wp14:anchorId="58A07EC7" wp14:editId="70589FA5">
            <wp:extent cx="4933950" cy="3046820"/>
            <wp:effectExtent l="19050" t="19050" r="19050" b="20320"/>
            <wp:docPr id="9" name="Picture 9"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blue bars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2594" cy="3052158"/>
                    </a:xfrm>
                    <a:prstGeom prst="rect">
                      <a:avLst/>
                    </a:prstGeom>
                    <a:noFill/>
                    <a:ln>
                      <a:solidFill>
                        <a:schemeClr val="bg1">
                          <a:lumMod val="75000"/>
                        </a:schemeClr>
                      </a:solidFill>
                    </a:ln>
                  </pic:spPr>
                </pic:pic>
              </a:graphicData>
            </a:graphic>
          </wp:inline>
        </w:drawing>
      </w:r>
    </w:p>
    <w:p w14:paraId="335FB3E1" w14:textId="77777777" w:rsidR="00875394" w:rsidRDefault="00875394" w:rsidP="00A32C31">
      <w:pPr>
        <w:jc w:val="both"/>
      </w:pPr>
    </w:p>
    <w:p w14:paraId="3DB80E35" w14:textId="2C1A295B" w:rsidR="007E57FD" w:rsidRDefault="00000000" w:rsidP="00A32C31">
      <w:pPr>
        <w:jc w:val="both"/>
      </w:pPr>
      <w:r>
        <w:t xml:space="preserve">Surprisingly, this new allocation also resulted in an ROI of $456,000. </w:t>
      </w:r>
      <w:r w:rsidR="007E57FD">
        <w:t>Results were skewed again but the majority budget in this estimate was allotted to</w:t>
      </w:r>
      <w:r w:rsidR="007E437E">
        <w:t xml:space="preserve"> different platforms in</w:t>
      </w:r>
      <w:r w:rsidR="007E57FD">
        <w:t xml:space="preserve"> Print, Facebook, and LinkedIn.</w:t>
      </w:r>
    </w:p>
    <w:p w14:paraId="02B15A69" w14:textId="68E61328" w:rsidR="007E437E" w:rsidRDefault="007E437E" w:rsidP="00A32C31">
      <w:pPr>
        <w:jc w:val="both"/>
      </w:pPr>
    </w:p>
    <w:p w14:paraId="5D79DB65" w14:textId="6C591786" w:rsidR="007E437E" w:rsidRPr="005E62D6" w:rsidRDefault="00657C0F" w:rsidP="00117902">
      <w:pPr>
        <w:pStyle w:val="Heading2"/>
        <w:rPr>
          <w:color w:val="7F7F7F" w:themeColor="text1" w:themeTint="80"/>
          <w:sz w:val="24"/>
          <w:szCs w:val="24"/>
          <w:u w:val="single"/>
        </w:rPr>
      </w:pPr>
      <w:bookmarkStart w:id="5" w:name="_Toc146556762"/>
      <w:r w:rsidRPr="005E62D6">
        <w:rPr>
          <w:color w:val="7F7F7F" w:themeColor="text1" w:themeTint="80"/>
          <w:sz w:val="24"/>
          <w:szCs w:val="24"/>
          <w:u w:val="single"/>
        </w:rPr>
        <w:t>First Allocation v/s Second Allocation</w:t>
      </w:r>
      <w:bookmarkEnd w:id="5"/>
    </w:p>
    <w:p w14:paraId="79849162" w14:textId="5E024B68" w:rsidR="00875394" w:rsidRDefault="00657C0F" w:rsidP="00A32C31">
      <w:pPr>
        <w:jc w:val="both"/>
      </w:pPr>
      <w:r>
        <w:t>We had a new concern on our hands, we had two possible allocations we could use and there was a possibility that the market would follow the allocation that we didn’t choose. To help us understand this effect we conducted an analysis of what our results would look like if we followed on allocation but got the returns based on other allocations’ ROI estimates. So, there is a high risk involved.</w:t>
      </w:r>
    </w:p>
    <w:p w14:paraId="6DCA43DA" w14:textId="77777777" w:rsidR="00875394" w:rsidRDefault="00875394" w:rsidP="00A32C31">
      <w:pPr>
        <w:jc w:val="both"/>
      </w:pPr>
    </w:p>
    <w:tbl>
      <w:tblPr>
        <w:tblStyle w:val="GridTable1Light-Accent5"/>
        <w:tblW w:w="5640" w:type="dxa"/>
        <w:tblInd w:w="2381" w:type="dxa"/>
        <w:tblLayout w:type="fixed"/>
        <w:tblLook w:val="0600" w:firstRow="0" w:lastRow="0" w:firstColumn="0" w:lastColumn="0" w:noHBand="1" w:noVBand="1"/>
      </w:tblPr>
      <w:tblGrid>
        <w:gridCol w:w="2132"/>
        <w:gridCol w:w="1594"/>
        <w:gridCol w:w="1914"/>
      </w:tblGrid>
      <w:tr w:rsidR="00875394" w14:paraId="5447D94C" w14:textId="77777777" w:rsidTr="001B6672">
        <w:trPr>
          <w:trHeight w:val="417"/>
        </w:trPr>
        <w:tc>
          <w:tcPr>
            <w:tcW w:w="2132" w:type="dxa"/>
            <w:vAlign w:val="center"/>
          </w:tcPr>
          <w:p w14:paraId="0399E7BA" w14:textId="77777777" w:rsidR="00875394" w:rsidRDefault="00000000" w:rsidP="00A32C31">
            <w:pPr>
              <w:widowControl w:val="0"/>
              <w:jc w:val="both"/>
              <w:rPr>
                <w:sz w:val="20"/>
                <w:szCs w:val="20"/>
              </w:rPr>
            </w:pPr>
            <w:r>
              <w:rPr>
                <w:sz w:val="20"/>
                <w:szCs w:val="20"/>
              </w:rPr>
              <w:t>Returns</w:t>
            </w:r>
          </w:p>
        </w:tc>
        <w:tc>
          <w:tcPr>
            <w:tcW w:w="1594" w:type="dxa"/>
            <w:vAlign w:val="center"/>
          </w:tcPr>
          <w:p w14:paraId="425B82D7" w14:textId="77777777" w:rsidR="00875394" w:rsidRDefault="00000000" w:rsidP="00A32C31">
            <w:pPr>
              <w:widowControl w:val="0"/>
              <w:jc w:val="both"/>
              <w:rPr>
                <w:sz w:val="20"/>
                <w:szCs w:val="20"/>
              </w:rPr>
            </w:pPr>
            <w:r>
              <w:rPr>
                <w:sz w:val="20"/>
                <w:szCs w:val="20"/>
              </w:rPr>
              <w:t>First Allocation</w:t>
            </w:r>
          </w:p>
        </w:tc>
        <w:tc>
          <w:tcPr>
            <w:tcW w:w="1914" w:type="dxa"/>
            <w:vAlign w:val="center"/>
          </w:tcPr>
          <w:p w14:paraId="4BB75BC1" w14:textId="77777777" w:rsidR="00875394" w:rsidRDefault="00000000" w:rsidP="00A32C31">
            <w:pPr>
              <w:widowControl w:val="0"/>
              <w:jc w:val="both"/>
              <w:rPr>
                <w:sz w:val="20"/>
                <w:szCs w:val="20"/>
              </w:rPr>
            </w:pPr>
            <w:r>
              <w:rPr>
                <w:sz w:val="20"/>
                <w:szCs w:val="20"/>
              </w:rPr>
              <w:t>Second Allocation</w:t>
            </w:r>
          </w:p>
        </w:tc>
      </w:tr>
      <w:tr w:rsidR="00875394" w14:paraId="4E98214D" w14:textId="77777777" w:rsidTr="001B6672">
        <w:trPr>
          <w:trHeight w:val="417"/>
        </w:trPr>
        <w:tc>
          <w:tcPr>
            <w:tcW w:w="2132" w:type="dxa"/>
            <w:vAlign w:val="center"/>
          </w:tcPr>
          <w:p w14:paraId="63681ECF" w14:textId="77777777" w:rsidR="00875394" w:rsidRDefault="00000000" w:rsidP="00A32C31">
            <w:pPr>
              <w:widowControl w:val="0"/>
              <w:jc w:val="both"/>
              <w:rPr>
                <w:sz w:val="20"/>
                <w:szCs w:val="20"/>
              </w:rPr>
            </w:pPr>
            <w:r>
              <w:rPr>
                <w:sz w:val="20"/>
                <w:szCs w:val="20"/>
              </w:rPr>
              <w:t>First ROI Estimate</w:t>
            </w:r>
          </w:p>
        </w:tc>
        <w:tc>
          <w:tcPr>
            <w:tcW w:w="1594" w:type="dxa"/>
            <w:vAlign w:val="center"/>
          </w:tcPr>
          <w:p w14:paraId="2C72E21D" w14:textId="238B1884" w:rsidR="00875394" w:rsidRDefault="00FE47B5" w:rsidP="00A32C31">
            <w:pPr>
              <w:widowControl w:val="0"/>
              <w:jc w:val="both"/>
              <w:rPr>
                <w:sz w:val="20"/>
                <w:szCs w:val="20"/>
              </w:rPr>
            </w:pPr>
            <w:r>
              <w:rPr>
                <w:sz w:val="20"/>
                <w:szCs w:val="20"/>
              </w:rPr>
              <w:t>$456,000</w:t>
            </w:r>
          </w:p>
        </w:tc>
        <w:tc>
          <w:tcPr>
            <w:tcW w:w="1914" w:type="dxa"/>
            <w:vAlign w:val="center"/>
          </w:tcPr>
          <w:p w14:paraId="4E593020" w14:textId="3B6D223E" w:rsidR="00875394" w:rsidRDefault="00FE47B5" w:rsidP="00A32C31">
            <w:pPr>
              <w:widowControl w:val="0"/>
              <w:jc w:val="both"/>
              <w:rPr>
                <w:sz w:val="20"/>
                <w:szCs w:val="20"/>
              </w:rPr>
            </w:pPr>
            <w:r>
              <w:rPr>
                <w:sz w:val="20"/>
                <w:szCs w:val="20"/>
              </w:rPr>
              <w:t>$252,000</w:t>
            </w:r>
          </w:p>
        </w:tc>
      </w:tr>
      <w:tr w:rsidR="00875394" w14:paraId="24C5A227" w14:textId="77777777" w:rsidTr="001B6672">
        <w:trPr>
          <w:trHeight w:val="417"/>
        </w:trPr>
        <w:tc>
          <w:tcPr>
            <w:tcW w:w="2132" w:type="dxa"/>
            <w:vAlign w:val="center"/>
          </w:tcPr>
          <w:p w14:paraId="3D427378" w14:textId="77777777" w:rsidR="00875394" w:rsidRDefault="00000000" w:rsidP="00A32C31">
            <w:pPr>
              <w:widowControl w:val="0"/>
              <w:jc w:val="both"/>
              <w:rPr>
                <w:sz w:val="20"/>
                <w:szCs w:val="20"/>
              </w:rPr>
            </w:pPr>
            <w:r>
              <w:rPr>
                <w:sz w:val="20"/>
                <w:szCs w:val="20"/>
              </w:rPr>
              <w:t>Second ROI Estimate</w:t>
            </w:r>
          </w:p>
        </w:tc>
        <w:tc>
          <w:tcPr>
            <w:tcW w:w="1594" w:type="dxa"/>
            <w:vAlign w:val="center"/>
          </w:tcPr>
          <w:p w14:paraId="39549D08" w14:textId="4B1C5D7C" w:rsidR="00875394" w:rsidRDefault="00FE47B5" w:rsidP="00A32C31">
            <w:pPr>
              <w:widowControl w:val="0"/>
              <w:jc w:val="both"/>
              <w:rPr>
                <w:sz w:val="20"/>
                <w:szCs w:val="20"/>
              </w:rPr>
            </w:pPr>
            <w:r>
              <w:rPr>
                <w:sz w:val="20"/>
                <w:szCs w:val="20"/>
              </w:rPr>
              <w:t>$264,000</w:t>
            </w:r>
          </w:p>
        </w:tc>
        <w:tc>
          <w:tcPr>
            <w:tcW w:w="1914" w:type="dxa"/>
            <w:vAlign w:val="center"/>
          </w:tcPr>
          <w:p w14:paraId="7E191EF5" w14:textId="55EE1472" w:rsidR="00875394" w:rsidRDefault="00FE47B5" w:rsidP="00A32C31">
            <w:pPr>
              <w:widowControl w:val="0"/>
              <w:jc w:val="both"/>
              <w:rPr>
                <w:sz w:val="20"/>
                <w:szCs w:val="20"/>
              </w:rPr>
            </w:pPr>
            <w:r>
              <w:rPr>
                <w:sz w:val="20"/>
                <w:szCs w:val="20"/>
              </w:rPr>
              <w:t>$456,000</w:t>
            </w:r>
          </w:p>
        </w:tc>
      </w:tr>
      <w:tr w:rsidR="00875394" w14:paraId="19CDD087" w14:textId="77777777" w:rsidTr="001B6672">
        <w:trPr>
          <w:trHeight w:val="417"/>
        </w:trPr>
        <w:tc>
          <w:tcPr>
            <w:tcW w:w="2132" w:type="dxa"/>
            <w:vAlign w:val="center"/>
          </w:tcPr>
          <w:p w14:paraId="4CEA8377" w14:textId="77777777" w:rsidR="00875394" w:rsidRDefault="00000000" w:rsidP="00A32C31">
            <w:pPr>
              <w:widowControl w:val="0"/>
              <w:jc w:val="both"/>
              <w:rPr>
                <w:sz w:val="20"/>
                <w:szCs w:val="20"/>
              </w:rPr>
            </w:pPr>
            <w:r>
              <w:rPr>
                <w:sz w:val="20"/>
                <w:szCs w:val="20"/>
              </w:rPr>
              <w:t>Difference</w:t>
            </w:r>
          </w:p>
        </w:tc>
        <w:tc>
          <w:tcPr>
            <w:tcW w:w="1594" w:type="dxa"/>
            <w:vAlign w:val="center"/>
          </w:tcPr>
          <w:p w14:paraId="5BC24924" w14:textId="6B7A410B" w:rsidR="00875394" w:rsidRDefault="00FE47B5" w:rsidP="00A32C31">
            <w:pPr>
              <w:widowControl w:val="0"/>
              <w:jc w:val="both"/>
              <w:rPr>
                <w:sz w:val="20"/>
                <w:szCs w:val="20"/>
              </w:rPr>
            </w:pPr>
            <w:r>
              <w:rPr>
                <w:sz w:val="20"/>
                <w:szCs w:val="20"/>
              </w:rPr>
              <w:t>$192,000</w:t>
            </w:r>
          </w:p>
        </w:tc>
        <w:tc>
          <w:tcPr>
            <w:tcW w:w="1914" w:type="dxa"/>
            <w:vAlign w:val="center"/>
          </w:tcPr>
          <w:p w14:paraId="477CCCE9" w14:textId="1044693A" w:rsidR="00875394" w:rsidRDefault="00FE47B5" w:rsidP="00A32C31">
            <w:pPr>
              <w:widowControl w:val="0"/>
              <w:jc w:val="both"/>
              <w:rPr>
                <w:sz w:val="20"/>
                <w:szCs w:val="20"/>
              </w:rPr>
            </w:pPr>
            <w:r>
              <w:rPr>
                <w:sz w:val="20"/>
                <w:szCs w:val="20"/>
              </w:rPr>
              <w:t>$204,000</w:t>
            </w:r>
          </w:p>
        </w:tc>
      </w:tr>
    </w:tbl>
    <w:p w14:paraId="07C58245" w14:textId="1CDA8799" w:rsidR="00875394" w:rsidRDefault="00875394" w:rsidP="00A32C31">
      <w:pPr>
        <w:jc w:val="both"/>
      </w:pPr>
    </w:p>
    <w:p w14:paraId="266635AC" w14:textId="5F20EB93" w:rsidR="00657C0F" w:rsidRPr="003719FE" w:rsidRDefault="00657C0F" w:rsidP="00117902">
      <w:pPr>
        <w:pStyle w:val="Heading2"/>
        <w:rPr>
          <w:color w:val="7F7F7F" w:themeColor="text1" w:themeTint="80"/>
          <w:sz w:val="24"/>
          <w:szCs w:val="24"/>
          <w:u w:val="single"/>
        </w:rPr>
      </w:pPr>
      <w:bookmarkStart w:id="6" w:name="_Toc146556763"/>
      <w:r w:rsidRPr="003719FE">
        <w:rPr>
          <w:color w:val="7F7F7F" w:themeColor="text1" w:themeTint="80"/>
          <w:sz w:val="24"/>
          <w:szCs w:val="24"/>
          <w:u w:val="single"/>
        </w:rPr>
        <w:t>CMO’s recommended constraint</w:t>
      </w:r>
      <w:bookmarkEnd w:id="6"/>
    </w:p>
    <w:p w14:paraId="3E90EAFF" w14:textId="77777777" w:rsidR="00A32C31" w:rsidRDefault="00000000" w:rsidP="00A32C31">
      <w:pPr>
        <w:jc w:val="both"/>
      </w:pPr>
      <w:r>
        <w:t>Th</w:t>
      </w:r>
      <w:r w:rsidR="00657C0F">
        <w:t>e risk involved in budget allocation</w:t>
      </w:r>
      <w:r>
        <w:t xml:space="preserve"> also brings to light the third constraint that our CMO provided us</w:t>
      </w:r>
      <w:r w:rsidR="00657C0F">
        <w:t>, i.e. each platform can be allotted a maximum budget of $3M.</w:t>
      </w:r>
      <w:r>
        <w:t xml:space="preserve"> If we ignore that constraint</w:t>
      </w:r>
      <w:r w:rsidR="00657C0F">
        <w:t xml:space="preserve"> and rerun our optimization model</w:t>
      </w:r>
      <w:r>
        <w:t xml:space="preserve">, we can potentially increase our returns by $9,000 in both cases, but in case our chosen ROI estimate proves to be wrong, we will have returns fall by at least an additional $26,000. </w:t>
      </w:r>
    </w:p>
    <w:p w14:paraId="3F233F86" w14:textId="13805D88" w:rsidR="00875394" w:rsidRDefault="00000000" w:rsidP="00A32C31">
      <w:pPr>
        <w:jc w:val="both"/>
      </w:pPr>
      <w:r>
        <w:lastRenderedPageBreak/>
        <w:t>The third constraint is helping us diversify our investment and is therefore mitigating the potential risk in case our ROI estimates prove to be wrong.</w:t>
      </w:r>
      <w:r w:rsidR="00657C0F">
        <w:t xml:space="preserve"> From a qualitative point of view, marketing through different platforms provides intangible benefits of maintaining a varied brand presence and targeting a more demographic audience.</w:t>
      </w:r>
    </w:p>
    <w:p w14:paraId="7DDF6E15" w14:textId="77777777" w:rsidR="00A32C31" w:rsidRDefault="00A32C31" w:rsidP="00A32C31">
      <w:pPr>
        <w:jc w:val="both"/>
        <w:rPr>
          <w:b/>
          <w:bCs/>
          <w:sz w:val="28"/>
          <w:szCs w:val="28"/>
        </w:rPr>
      </w:pPr>
    </w:p>
    <w:p w14:paraId="5FC18AB0" w14:textId="5BEF1402" w:rsidR="00657C0F" w:rsidRPr="005F10B0" w:rsidRDefault="00657C0F" w:rsidP="005F10B0">
      <w:pPr>
        <w:pStyle w:val="Heading1"/>
        <w:rPr>
          <w:sz w:val="28"/>
          <w:szCs w:val="28"/>
        </w:rPr>
      </w:pPr>
      <w:bookmarkStart w:id="7" w:name="_Toc146556764"/>
      <w:r w:rsidRPr="005F10B0">
        <w:rPr>
          <w:rStyle w:val="headings1Char"/>
        </w:rPr>
        <w:t>Sensitivity Analysis</w:t>
      </w:r>
      <w:r w:rsidRPr="005F10B0">
        <w:rPr>
          <w:sz w:val="28"/>
          <w:szCs w:val="28"/>
        </w:rPr>
        <w:t>:</w:t>
      </w:r>
      <w:bookmarkEnd w:id="7"/>
    </w:p>
    <w:p w14:paraId="1FD7EC19" w14:textId="525EAFF0" w:rsidR="003D57CE" w:rsidRDefault="00000000" w:rsidP="00A32C31">
      <w:pPr>
        <w:jc w:val="both"/>
      </w:pPr>
      <w:r>
        <w:t xml:space="preserve">To explore the changes in allocation further, we performed a sensitivity analysis on our original ROIs from the first consulting company to see how our optimal allocation would change based on changes in the ROI data. </w:t>
      </w:r>
      <w:r w:rsidR="003D57CE">
        <w:t xml:space="preserve">From that analysis, we acquired the following results: </w:t>
      </w:r>
    </w:p>
    <w:p w14:paraId="15907676" w14:textId="77777777" w:rsidR="003D57CE" w:rsidRDefault="003D57CE" w:rsidP="00A32C31">
      <w:pPr>
        <w:jc w:val="both"/>
      </w:pPr>
    </w:p>
    <w:p w14:paraId="38F46153" w14:textId="07038BC8" w:rsidR="003D57CE" w:rsidRDefault="003D57CE" w:rsidP="00A32C31">
      <w:pPr>
        <w:jc w:val="both"/>
      </w:pPr>
      <w:r>
        <w:rPr>
          <w:noProof/>
        </w:rPr>
        <w:drawing>
          <wp:inline distT="0" distB="0" distL="0" distR="0" wp14:anchorId="2E161D6C" wp14:editId="2D3772AB">
            <wp:extent cx="6893068" cy="3082189"/>
            <wp:effectExtent l="19050" t="19050" r="22225" b="23495"/>
            <wp:docPr id="33" name="Picture 33"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with blue lines an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4839" cy="3091924"/>
                    </a:xfrm>
                    <a:prstGeom prst="rect">
                      <a:avLst/>
                    </a:prstGeom>
                    <a:noFill/>
                    <a:ln>
                      <a:solidFill>
                        <a:schemeClr val="bg1">
                          <a:lumMod val="75000"/>
                        </a:schemeClr>
                      </a:solidFill>
                    </a:ln>
                  </pic:spPr>
                </pic:pic>
              </a:graphicData>
            </a:graphic>
          </wp:inline>
        </w:drawing>
      </w:r>
    </w:p>
    <w:p w14:paraId="68E50105" w14:textId="77777777" w:rsidR="00657C0F" w:rsidRDefault="00657C0F" w:rsidP="00A32C31">
      <w:pPr>
        <w:jc w:val="both"/>
      </w:pPr>
    </w:p>
    <w:p w14:paraId="4AE53558" w14:textId="613E795E" w:rsidR="003D57CE" w:rsidRDefault="00000000" w:rsidP="00A32C31">
      <w:pPr>
        <w:jc w:val="both"/>
        <w:rPr>
          <w:highlight w:val="white"/>
        </w:rPr>
      </w:pPr>
      <w:r w:rsidRPr="00D4108B">
        <w:t>This graph shows for each advertising medium the amount of ROI that can be increased or decreased before the optimal solution changes (the arrows indicate infinit</w:t>
      </w:r>
      <w:r w:rsidR="007E57FD">
        <w:t>y</w:t>
      </w:r>
      <w:r w:rsidRPr="00D4108B">
        <w:t>). When the allowable increase and decrease range is large, this means that the platform is not very sensitive</w:t>
      </w:r>
      <w:r w:rsidR="007E57FD">
        <w:t>,</w:t>
      </w:r>
      <w:r w:rsidRPr="00D4108B">
        <w:t xml:space="preserve"> and </w:t>
      </w:r>
      <w:r w:rsidRPr="00D4108B">
        <w:rPr>
          <w:highlight w:val="white"/>
        </w:rPr>
        <w:t>small changes to their ROI values won't impact the</w:t>
      </w:r>
      <w:r w:rsidR="00657C0F">
        <w:rPr>
          <w:highlight w:val="white"/>
        </w:rPr>
        <w:t xml:space="preserve"> </w:t>
      </w:r>
      <w:r w:rsidRPr="00D4108B">
        <w:rPr>
          <w:highlight w:val="white"/>
        </w:rPr>
        <w:t xml:space="preserve">optimal allocation. </w:t>
      </w:r>
    </w:p>
    <w:p w14:paraId="34C2FBB1" w14:textId="77777777" w:rsidR="003719FE" w:rsidRDefault="003719FE" w:rsidP="00A32C31">
      <w:pPr>
        <w:jc w:val="both"/>
        <w:rPr>
          <w:highlight w:val="white"/>
        </w:rPr>
      </w:pPr>
    </w:p>
    <w:p w14:paraId="35E2C05E" w14:textId="16723DF4" w:rsidR="003D57CE" w:rsidRDefault="00000000" w:rsidP="00A32C31">
      <w:pPr>
        <w:jc w:val="both"/>
        <w:rPr>
          <w:highlight w:val="white"/>
        </w:rPr>
      </w:pPr>
      <w:r w:rsidRPr="00D4108B">
        <w:rPr>
          <w:highlight w:val="white"/>
        </w:rPr>
        <w:t>However, for platforms like TV or AdWords, there is a very narrow range for ROIs that will not affect the optimal solution. This indicates that these platforms are crucial determinants of the distribution of</w:t>
      </w:r>
      <w:r w:rsidR="00657C0F">
        <w:rPr>
          <w:highlight w:val="white"/>
        </w:rPr>
        <w:t xml:space="preserve"> </w:t>
      </w:r>
      <w:r w:rsidRPr="00D4108B">
        <w:rPr>
          <w:highlight w:val="white"/>
        </w:rPr>
        <w:t>the budget for the optimal solution.</w:t>
      </w:r>
    </w:p>
    <w:p w14:paraId="37BF6E77" w14:textId="77777777" w:rsidR="003D57CE" w:rsidRDefault="003D57CE" w:rsidP="00A32C31">
      <w:pPr>
        <w:jc w:val="both"/>
        <w:rPr>
          <w:highlight w:val="white"/>
        </w:rPr>
      </w:pPr>
    </w:p>
    <w:p w14:paraId="6736317F" w14:textId="3E75353C" w:rsidR="003D57CE" w:rsidRDefault="003D57CE" w:rsidP="00A32C31">
      <w:pPr>
        <w:jc w:val="both"/>
        <w:rPr>
          <w:highlight w:val="white"/>
        </w:rPr>
      </w:pPr>
    </w:p>
    <w:p w14:paraId="06BA56C3" w14:textId="77777777" w:rsidR="0013163A" w:rsidRDefault="0013163A" w:rsidP="00A32C31">
      <w:pPr>
        <w:jc w:val="both"/>
        <w:rPr>
          <w:b/>
          <w:bCs/>
          <w:sz w:val="28"/>
          <w:szCs w:val="28"/>
          <w:highlight w:val="white"/>
        </w:rPr>
      </w:pPr>
      <w:r>
        <w:rPr>
          <w:b/>
          <w:bCs/>
          <w:sz w:val="28"/>
          <w:szCs w:val="28"/>
          <w:highlight w:val="white"/>
        </w:rPr>
        <w:br w:type="page"/>
      </w:r>
    </w:p>
    <w:p w14:paraId="519ABCCB" w14:textId="1B656C87" w:rsidR="003D57CE" w:rsidRPr="005F10B0" w:rsidRDefault="003D57CE" w:rsidP="003719FE">
      <w:pPr>
        <w:pStyle w:val="Heading2"/>
        <w:spacing w:line="240" w:lineRule="auto"/>
        <w:rPr>
          <w:highlight w:val="white"/>
        </w:rPr>
      </w:pPr>
      <w:bookmarkStart w:id="8" w:name="_Toc146556765"/>
      <w:r w:rsidRPr="005F10B0">
        <w:rPr>
          <w:rStyle w:val="headings1Char"/>
          <w:highlight w:val="white"/>
        </w:rPr>
        <w:lastRenderedPageBreak/>
        <w:t>Reinvesting Returns</w:t>
      </w:r>
      <w:r w:rsidRPr="005F10B0">
        <w:rPr>
          <w:highlight w:val="white"/>
        </w:rPr>
        <w:t>:</w:t>
      </w:r>
      <w:bookmarkEnd w:id="8"/>
    </w:p>
    <w:p w14:paraId="7879ACB2" w14:textId="77777777" w:rsidR="0013163A" w:rsidRPr="003D57CE" w:rsidRDefault="0013163A" w:rsidP="00A32C31">
      <w:pPr>
        <w:jc w:val="both"/>
        <w:rPr>
          <w:b/>
          <w:bCs/>
          <w:sz w:val="28"/>
          <w:szCs w:val="28"/>
          <w:highlight w:val="white"/>
        </w:rPr>
      </w:pPr>
    </w:p>
    <w:p w14:paraId="6344D17C" w14:textId="4D3C724D" w:rsidR="00BD5DC8" w:rsidRDefault="00000000" w:rsidP="00A32C31">
      <w:pPr>
        <w:jc w:val="both"/>
      </w:pPr>
      <w:r w:rsidRPr="00D4108B">
        <w:rPr>
          <w:highlight w:val="white"/>
        </w:rPr>
        <w:t xml:space="preserve">Now that we also have permission to reinvest half of the returns for each month, we have implemented another optimization model that will tell us the most effective spending strategy for each platform each month. With those strategies in place, we get the following </w:t>
      </w:r>
      <w:r w:rsidR="007E57FD">
        <w:rPr>
          <w:highlight w:val="white"/>
        </w:rPr>
        <w:t>ROIs</w:t>
      </w:r>
      <w:r w:rsidRPr="00D4108B">
        <w:rPr>
          <w:highlight w:val="white"/>
        </w:rPr>
        <w:t xml:space="preserve"> over the months:</w:t>
      </w:r>
    </w:p>
    <w:p w14:paraId="5014902F" w14:textId="77777777" w:rsidR="00BD5DC8" w:rsidRDefault="00BD5DC8" w:rsidP="00A32C31">
      <w:pPr>
        <w:jc w:val="both"/>
      </w:pPr>
    </w:p>
    <w:p w14:paraId="6D47EDD2" w14:textId="4E1CE5E7" w:rsidR="003D57CE" w:rsidRDefault="00496637" w:rsidP="00A32C31">
      <w:pPr>
        <w:jc w:val="both"/>
      </w:pPr>
      <w:r>
        <w:rPr>
          <w:noProof/>
        </w:rPr>
        <w:drawing>
          <wp:inline distT="0" distB="0" distL="0" distR="0" wp14:anchorId="45ACAD41" wp14:editId="67B2C6D1">
            <wp:extent cx="6835171" cy="3252019"/>
            <wp:effectExtent l="19050" t="19050" r="22860" b="24765"/>
            <wp:docPr id="36" name="Picture 3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2186" cy="3326723"/>
                    </a:xfrm>
                    <a:prstGeom prst="rect">
                      <a:avLst/>
                    </a:prstGeom>
                    <a:noFill/>
                    <a:ln>
                      <a:solidFill>
                        <a:schemeClr val="bg1">
                          <a:lumMod val="75000"/>
                        </a:schemeClr>
                      </a:solidFill>
                    </a:ln>
                  </pic:spPr>
                </pic:pic>
              </a:graphicData>
            </a:graphic>
          </wp:inline>
        </w:drawing>
      </w:r>
    </w:p>
    <w:p w14:paraId="49AF9864" w14:textId="43166CB4" w:rsidR="003D57CE" w:rsidRDefault="003D57CE" w:rsidP="00A32C31">
      <w:pPr>
        <w:jc w:val="both"/>
      </w:pPr>
    </w:p>
    <w:p w14:paraId="3641F271" w14:textId="77777777" w:rsidR="003D57CE" w:rsidRDefault="003D57CE" w:rsidP="00A32C31">
      <w:pPr>
        <w:jc w:val="both"/>
      </w:pPr>
      <w:r>
        <w:t xml:space="preserve">As you can see, the general trend is that the ROI increases over the months. This data indicates that over the span of one year, reinvesting half of the ROI each month would benefit the company. By reinvesting half of the ROI into the budget for next month, we are able to increase the budget, improving the quantity, quality, and reach of our advertisements on each platform, which then in turn generally increases our ROI. </w:t>
      </w:r>
    </w:p>
    <w:p w14:paraId="23BD42C9" w14:textId="2EB7E97E" w:rsidR="003D57CE" w:rsidRDefault="003D57CE" w:rsidP="00A32C31">
      <w:pPr>
        <w:jc w:val="both"/>
      </w:pPr>
    </w:p>
    <w:p w14:paraId="608563C2" w14:textId="7850F346" w:rsidR="003D57CE" w:rsidRDefault="003D57CE" w:rsidP="00A32C31">
      <w:pPr>
        <w:jc w:val="both"/>
      </w:pPr>
    </w:p>
    <w:p w14:paraId="1CD170BE" w14:textId="77777777" w:rsidR="0013163A" w:rsidRDefault="0013163A" w:rsidP="00A32C31">
      <w:pPr>
        <w:jc w:val="both"/>
        <w:rPr>
          <w:b/>
          <w:bCs/>
          <w:sz w:val="28"/>
          <w:szCs w:val="28"/>
        </w:rPr>
      </w:pPr>
      <w:r>
        <w:rPr>
          <w:b/>
          <w:bCs/>
          <w:sz w:val="28"/>
          <w:szCs w:val="28"/>
        </w:rPr>
        <w:br w:type="page"/>
      </w:r>
    </w:p>
    <w:p w14:paraId="5491B08D" w14:textId="5FF7FBE8" w:rsidR="003D57CE" w:rsidRPr="00117902" w:rsidRDefault="00496637" w:rsidP="00117902">
      <w:pPr>
        <w:pStyle w:val="Heading2"/>
      </w:pPr>
      <w:bookmarkStart w:id="9" w:name="_Toc146556766"/>
      <w:r w:rsidRPr="00117902">
        <w:rPr>
          <w:rStyle w:val="headings1Char"/>
        </w:rPr>
        <w:lastRenderedPageBreak/>
        <w:t>Budget Stability</w:t>
      </w:r>
      <w:r w:rsidR="00117902" w:rsidRPr="00117902">
        <w:t>:</w:t>
      </w:r>
      <w:bookmarkEnd w:id="9"/>
    </w:p>
    <w:p w14:paraId="2EFEBBA9" w14:textId="77777777" w:rsidR="003D57CE" w:rsidRDefault="003D57CE" w:rsidP="00A32C31">
      <w:pPr>
        <w:jc w:val="both"/>
      </w:pPr>
    </w:p>
    <w:p w14:paraId="41AD9DAA" w14:textId="084CC305" w:rsidR="001D1DFD" w:rsidRDefault="004471AC" w:rsidP="00A32C31">
      <w:pPr>
        <w:jc w:val="both"/>
      </w:pPr>
      <w:r w:rsidRPr="004471AC">
        <w:rPr>
          <w:noProof/>
        </w:rPr>
        <w:drawing>
          <wp:inline distT="0" distB="0" distL="0" distR="0" wp14:anchorId="713A275D" wp14:editId="5A10D750">
            <wp:extent cx="6880123" cy="19615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8021" cy="1966618"/>
                    </a:xfrm>
                    <a:prstGeom prst="rect">
                      <a:avLst/>
                    </a:prstGeom>
                    <a:noFill/>
                    <a:ln>
                      <a:noFill/>
                    </a:ln>
                  </pic:spPr>
                </pic:pic>
              </a:graphicData>
            </a:graphic>
          </wp:inline>
        </w:drawing>
      </w:r>
    </w:p>
    <w:p w14:paraId="34B1DAC2" w14:textId="375AF1FB" w:rsidR="00875394" w:rsidRDefault="00875394" w:rsidP="00A32C31">
      <w:pPr>
        <w:jc w:val="both"/>
      </w:pPr>
    </w:p>
    <w:p w14:paraId="1AF5F553" w14:textId="7D0AD51B" w:rsidR="0069169F" w:rsidRDefault="004471AC" w:rsidP="00A32C31">
      <w:pPr>
        <w:jc w:val="both"/>
      </w:pPr>
      <w:r>
        <w:t xml:space="preserve">However, there may be a problem with the stability of this budget, as indicated by the </w:t>
      </w:r>
      <w:r w:rsidR="0069169F">
        <w:t xml:space="preserve">above table and the </w:t>
      </w:r>
      <w:r>
        <w:t>following graph.</w:t>
      </w:r>
      <w:r w:rsidR="00496637">
        <w:t xml:space="preserve"> </w:t>
      </w:r>
      <w:r w:rsidR="0069169F">
        <w:t xml:space="preserve">The table depicts the actual budget allocation for each platform based on given ROI estimates </w:t>
      </w:r>
      <w:r w:rsidR="00641B5D">
        <w:t>for each month.</w:t>
      </w:r>
    </w:p>
    <w:p w14:paraId="1DA335F2" w14:textId="7214971C" w:rsidR="004D3F10" w:rsidRDefault="00000000" w:rsidP="00A32C31">
      <w:pPr>
        <w:jc w:val="both"/>
      </w:pPr>
      <w:r>
        <w:t>Th</w:t>
      </w:r>
      <w:r w:rsidR="004471AC">
        <w:t>e</w:t>
      </w:r>
      <w:r>
        <w:t xml:space="preserve"> graph illustrates the change in spending </w:t>
      </w:r>
      <w:r w:rsidR="004D3F10">
        <w:t xml:space="preserve">of more than $1M </w:t>
      </w:r>
      <w:r>
        <w:t xml:space="preserve">for each platform </w:t>
      </w:r>
      <w:r w:rsidR="004D3F10">
        <w:t xml:space="preserve">channel </w:t>
      </w:r>
      <w:r>
        <w:t xml:space="preserve">every month. </w:t>
      </w:r>
      <w:r w:rsidR="00BD5DC8">
        <w:t xml:space="preserve">We can see that for most of the months, there is a high fluctuation (&gt; $1M) in </w:t>
      </w:r>
      <w:r w:rsidR="006842F4">
        <w:t xml:space="preserve">the </w:t>
      </w:r>
      <w:r w:rsidR="00BD5DC8">
        <w:t xml:space="preserve">budget for </w:t>
      </w:r>
      <w:r w:rsidR="006842F4">
        <w:t>channels indicating instability in budget allocation</w:t>
      </w:r>
      <w:r w:rsidR="004D3F10">
        <w:t xml:space="preserve">. To correct this in our model, we may add another constraint that does not allow the allocated spending for each platform to change beyond the $1M limit for every month. </w:t>
      </w:r>
    </w:p>
    <w:p w14:paraId="72FEA656" w14:textId="77777777" w:rsidR="001D1DFD" w:rsidRDefault="001D1DFD" w:rsidP="00A32C31">
      <w:pPr>
        <w:jc w:val="both"/>
      </w:pPr>
    </w:p>
    <w:p w14:paraId="6F317A1B" w14:textId="77777777" w:rsidR="001D1DFD" w:rsidRDefault="001D1DFD" w:rsidP="00A32C31">
      <w:pPr>
        <w:jc w:val="both"/>
      </w:pPr>
    </w:p>
    <w:p w14:paraId="53954364" w14:textId="77777777" w:rsidR="001D1DFD" w:rsidRDefault="001D1DFD" w:rsidP="00A32C31">
      <w:pPr>
        <w:jc w:val="both"/>
      </w:pPr>
    </w:p>
    <w:p w14:paraId="64D64537" w14:textId="13C52D46" w:rsidR="001D1DFD" w:rsidRDefault="001D1DFD" w:rsidP="00A32C31">
      <w:pPr>
        <w:jc w:val="both"/>
      </w:pPr>
      <w:r>
        <w:rPr>
          <w:noProof/>
        </w:rPr>
        <w:drawing>
          <wp:inline distT="0" distB="0" distL="0" distR="0" wp14:anchorId="0E6685A3" wp14:editId="24FB6E0B">
            <wp:extent cx="6681019" cy="2667000"/>
            <wp:effectExtent l="0" t="0" r="5715" b="0"/>
            <wp:docPr id="31" name="Chart 31">
              <a:extLst xmlns:a="http://schemas.openxmlformats.org/drawingml/2006/main">
                <a:ext uri="{FF2B5EF4-FFF2-40B4-BE49-F238E27FC236}">
                  <a16:creationId xmlns:a16="http://schemas.microsoft.com/office/drawing/2014/main" id="{C0728683-33E3-DFCF-E144-C44AC338F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1A011C" w14:textId="77777777" w:rsidR="00875394" w:rsidRDefault="00875394" w:rsidP="00A32C31">
      <w:pPr>
        <w:jc w:val="both"/>
      </w:pPr>
    </w:p>
    <w:p w14:paraId="2DA94E30" w14:textId="098DA3EB" w:rsidR="00875394" w:rsidRDefault="00875394" w:rsidP="00A32C31">
      <w:pPr>
        <w:jc w:val="both"/>
      </w:pPr>
    </w:p>
    <w:p w14:paraId="1A843274" w14:textId="1799300A" w:rsidR="00496637" w:rsidRPr="00496637" w:rsidRDefault="00496637" w:rsidP="00117902">
      <w:pPr>
        <w:pStyle w:val="Heading1"/>
        <w:rPr>
          <w:b/>
        </w:rPr>
      </w:pPr>
      <w:bookmarkStart w:id="10" w:name="_Toc146556767"/>
      <w:r w:rsidRPr="00117902">
        <w:rPr>
          <w:rStyle w:val="headings1Char"/>
        </w:rPr>
        <w:t>Conclusion</w:t>
      </w:r>
      <w:r w:rsidR="00117902" w:rsidRPr="00117902">
        <w:rPr>
          <w:b/>
          <w:sz w:val="28"/>
          <w:szCs w:val="28"/>
        </w:rPr>
        <w:t>:</w:t>
      </w:r>
      <w:bookmarkEnd w:id="10"/>
    </w:p>
    <w:p w14:paraId="5329580F" w14:textId="24BB697B" w:rsidR="00875394" w:rsidRDefault="00E61EB4" w:rsidP="00A32C31">
      <w:pPr>
        <w:jc w:val="both"/>
      </w:pPr>
      <w:r>
        <w:t>In conclusion, adopting a logical approach through optimization</w:t>
      </w:r>
      <w:r w:rsidR="00641B5D">
        <w:t xml:space="preserve"> modeling</w:t>
      </w:r>
      <w:r>
        <w:t xml:space="preserve"> while incorporating the marketing experience of our CMO in our budget allocation will generate the overall best results which will help escalate our brand presence across various ad channels while also yielding healthy returns.</w:t>
      </w:r>
    </w:p>
    <w:sectPr w:rsidR="00875394" w:rsidSect="003D57CE">
      <w:footerReference w:type="default" r:id="rId17"/>
      <w:pgSz w:w="12240" w:h="15840" w:code="1"/>
      <w:pgMar w:top="720" w:right="720" w:bottom="720" w:left="720" w:header="720" w:footer="720"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4266" w14:textId="77777777" w:rsidR="00F242FF" w:rsidRDefault="00F242FF" w:rsidP="005828A1">
      <w:pPr>
        <w:spacing w:line="240" w:lineRule="auto"/>
      </w:pPr>
      <w:r>
        <w:separator/>
      </w:r>
    </w:p>
  </w:endnote>
  <w:endnote w:type="continuationSeparator" w:id="0">
    <w:p w14:paraId="0C65A709" w14:textId="77777777" w:rsidR="00F242FF" w:rsidRDefault="00F242FF" w:rsidP="00582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8273"/>
      <w:docPartObj>
        <w:docPartGallery w:val="Page Numbers (Bottom of Page)"/>
        <w:docPartUnique/>
      </w:docPartObj>
    </w:sdtPr>
    <w:sdtEndPr>
      <w:rPr>
        <w:noProof/>
      </w:rPr>
    </w:sdtEndPr>
    <w:sdtContent>
      <w:p w14:paraId="51270ADA" w14:textId="19E1A4C5" w:rsidR="005828A1" w:rsidRDefault="00582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2AD26" w14:textId="77777777" w:rsidR="005828A1" w:rsidRDefault="00582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8BD2" w14:textId="77777777" w:rsidR="00F242FF" w:rsidRDefault="00F242FF" w:rsidP="005828A1">
      <w:pPr>
        <w:spacing w:line="240" w:lineRule="auto"/>
      </w:pPr>
      <w:r>
        <w:separator/>
      </w:r>
    </w:p>
  </w:footnote>
  <w:footnote w:type="continuationSeparator" w:id="0">
    <w:p w14:paraId="02A58864" w14:textId="77777777" w:rsidR="00F242FF" w:rsidRDefault="00F242FF" w:rsidP="005828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2DA"/>
    <w:multiLevelType w:val="multilevel"/>
    <w:tmpl w:val="603C3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082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94"/>
    <w:rsid w:val="00117655"/>
    <w:rsid w:val="00117902"/>
    <w:rsid w:val="0013163A"/>
    <w:rsid w:val="001B6672"/>
    <w:rsid w:val="001D1DFD"/>
    <w:rsid w:val="00272033"/>
    <w:rsid w:val="003158ED"/>
    <w:rsid w:val="0036477A"/>
    <w:rsid w:val="003719FE"/>
    <w:rsid w:val="003B65EE"/>
    <w:rsid w:val="003D57CE"/>
    <w:rsid w:val="004471AC"/>
    <w:rsid w:val="00496637"/>
    <w:rsid w:val="004C726F"/>
    <w:rsid w:val="004D3F10"/>
    <w:rsid w:val="0053382D"/>
    <w:rsid w:val="00577A3E"/>
    <w:rsid w:val="005828A1"/>
    <w:rsid w:val="005B14BF"/>
    <w:rsid w:val="005E62D6"/>
    <w:rsid w:val="005F10B0"/>
    <w:rsid w:val="00641B5D"/>
    <w:rsid w:val="00657C0F"/>
    <w:rsid w:val="006842F4"/>
    <w:rsid w:val="0069169F"/>
    <w:rsid w:val="00712D30"/>
    <w:rsid w:val="00766716"/>
    <w:rsid w:val="007B54AC"/>
    <w:rsid w:val="007E437E"/>
    <w:rsid w:val="007E57FD"/>
    <w:rsid w:val="0082676D"/>
    <w:rsid w:val="00875394"/>
    <w:rsid w:val="008E3AFC"/>
    <w:rsid w:val="00A32C31"/>
    <w:rsid w:val="00AA7E33"/>
    <w:rsid w:val="00B2594C"/>
    <w:rsid w:val="00B50CD1"/>
    <w:rsid w:val="00B518AF"/>
    <w:rsid w:val="00B65056"/>
    <w:rsid w:val="00B92F88"/>
    <w:rsid w:val="00BD5DC8"/>
    <w:rsid w:val="00CC3D2C"/>
    <w:rsid w:val="00D4108B"/>
    <w:rsid w:val="00D6764D"/>
    <w:rsid w:val="00D96AA7"/>
    <w:rsid w:val="00DC382A"/>
    <w:rsid w:val="00DC3DBB"/>
    <w:rsid w:val="00DD14E6"/>
    <w:rsid w:val="00DD4997"/>
    <w:rsid w:val="00DD4B88"/>
    <w:rsid w:val="00E61EB4"/>
    <w:rsid w:val="00F242FF"/>
    <w:rsid w:val="00FD1C50"/>
    <w:rsid w:val="00FE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810EE"/>
  <w15:docId w15:val="{707BC187-E8A7-4EC7-AEAF-4B5EBA57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1Light-Accent5">
    <w:name w:val="Grid Table 1 Light Accent 5"/>
    <w:basedOn w:val="TableNormal"/>
    <w:uiPriority w:val="46"/>
    <w:rsid w:val="00BD5DC8"/>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E47B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828A1"/>
    <w:pPr>
      <w:tabs>
        <w:tab w:val="center" w:pos="4680"/>
        <w:tab w:val="right" w:pos="9360"/>
      </w:tabs>
      <w:spacing w:line="240" w:lineRule="auto"/>
    </w:pPr>
  </w:style>
  <w:style w:type="character" w:customStyle="1" w:styleId="HeaderChar">
    <w:name w:val="Header Char"/>
    <w:basedOn w:val="DefaultParagraphFont"/>
    <w:link w:val="Header"/>
    <w:uiPriority w:val="99"/>
    <w:rsid w:val="005828A1"/>
  </w:style>
  <w:style w:type="paragraph" w:styleId="Footer">
    <w:name w:val="footer"/>
    <w:basedOn w:val="Normal"/>
    <w:link w:val="FooterChar"/>
    <w:uiPriority w:val="99"/>
    <w:unhideWhenUsed/>
    <w:rsid w:val="005828A1"/>
    <w:pPr>
      <w:tabs>
        <w:tab w:val="center" w:pos="4680"/>
        <w:tab w:val="right" w:pos="9360"/>
      </w:tabs>
      <w:spacing w:line="240" w:lineRule="auto"/>
    </w:pPr>
  </w:style>
  <w:style w:type="character" w:customStyle="1" w:styleId="FooterChar">
    <w:name w:val="Footer Char"/>
    <w:basedOn w:val="DefaultParagraphFont"/>
    <w:link w:val="Footer"/>
    <w:uiPriority w:val="99"/>
    <w:rsid w:val="005828A1"/>
  </w:style>
  <w:style w:type="paragraph" w:styleId="TOCHeading">
    <w:name w:val="TOC Heading"/>
    <w:basedOn w:val="Heading1"/>
    <w:next w:val="Normal"/>
    <w:uiPriority w:val="39"/>
    <w:unhideWhenUsed/>
    <w:qFormat/>
    <w:rsid w:val="005F10B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19FE"/>
    <w:pPr>
      <w:tabs>
        <w:tab w:val="right" w:leader="dot" w:pos="10790"/>
      </w:tabs>
      <w:spacing w:after="100" w:line="360" w:lineRule="auto"/>
      <w:ind w:left="220"/>
      <w:jc w:val="both"/>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F10B0"/>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F10B0"/>
    <w:pPr>
      <w:spacing w:after="100" w:line="259" w:lineRule="auto"/>
      <w:ind w:left="440"/>
    </w:pPr>
    <w:rPr>
      <w:rFonts w:asciiTheme="minorHAnsi" w:eastAsiaTheme="minorEastAsia" w:hAnsiTheme="minorHAnsi" w:cs="Times New Roman"/>
      <w:lang w:val="en-US"/>
    </w:rPr>
  </w:style>
  <w:style w:type="paragraph" w:customStyle="1" w:styleId="headings1">
    <w:name w:val="headings1"/>
    <w:basedOn w:val="Normal"/>
    <w:link w:val="headings1Char"/>
    <w:autoRedefine/>
    <w:qFormat/>
    <w:rsid w:val="005F10B0"/>
    <w:pPr>
      <w:jc w:val="both"/>
    </w:pPr>
    <w:rPr>
      <w:b/>
      <w:sz w:val="28"/>
      <w:szCs w:val="28"/>
    </w:rPr>
  </w:style>
  <w:style w:type="paragraph" w:customStyle="1" w:styleId="headings2">
    <w:name w:val="headings2"/>
    <w:basedOn w:val="Normal"/>
    <w:link w:val="headings2Char"/>
    <w:qFormat/>
    <w:rsid w:val="005F10B0"/>
    <w:pPr>
      <w:jc w:val="both"/>
    </w:pPr>
    <w:rPr>
      <w:sz w:val="24"/>
      <w:szCs w:val="24"/>
      <w:u w:val="single"/>
    </w:rPr>
  </w:style>
  <w:style w:type="character" w:customStyle="1" w:styleId="headings1Char">
    <w:name w:val="headings1 Char"/>
    <w:basedOn w:val="DefaultParagraphFont"/>
    <w:link w:val="headings1"/>
    <w:rsid w:val="005F10B0"/>
    <w:rPr>
      <w:b/>
      <w:sz w:val="28"/>
      <w:szCs w:val="28"/>
    </w:rPr>
  </w:style>
  <w:style w:type="character" w:styleId="Hyperlink">
    <w:name w:val="Hyperlink"/>
    <w:basedOn w:val="DefaultParagraphFont"/>
    <w:uiPriority w:val="99"/>
    <w:unhideWhenUsed/>
    <w:rsid w:val="005F10B0"/>
    <w:rPr>
      <w:color w:val="0000FF" w:themeColor="hyperlink"/>
      <w:u w:val="single"/>
    </w:rPr>
  </w:style>
  <w:style w:type="character" w:customStyle="1" w:styleId="headings2Char">
    <w:name w:val="headings2 Char"/>
    <w:basedOn w:val="DefaultParagraphFont"/>
    <w:link w:val="headings2"/>
    <w:rsid w:val="005F10B0"/>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6307">
      <w:bodyDiv w:val="1"/>
      <w:marLeft w:val="0"/>
      <w:marRight w:val="0"/>
      <w:marTop w:val="0"/>
      <w:marBottom w:val="0"/>
      <w:divBdr>
        <w:top w:val="none" w:sz="0" w:space="0" w:color="auto"/>
        <w:left w:val="none" w:sz="0" w:space="0" w:color="auto"/>
        <w:bottom w:val="none" w:sz="0" w:space="0" w:color="auto"/>
        <w:right w:val="none" w:sz="0" w:space="0" w:color="auto"/>
      </w:divBdr>
    </w:div>
    <w:div w:id="378819421">
      <w:bodyDiv w:val="1"/>
      <w:marLeft w:val="0"/>
      <w:marRight w:val="0"/>
      <w:marTop w:val="0"/>
      <w:marBottom w:val="0"/>
      <w:divBdr>
        <w:top w:val="none" w:sz="0" w:space="0" w:color="auto"/>
        <w:left w:val="none" w:sz="0" w:space="0" w:color="auto"/>
        <w:bottom w:val="none" w:sz="0" w:space="0" w:color="auto"/>
        <w:right w:val="none" w:sz="0" w:space="0" w:color="auto"/>
      </w:divBdr>
    </w:div>
    <w:div w:id="562368901">
      <w:bodyDiv w:val="1"/>
      <w:marLeft w:val="0"/>
      <w:marRight w:val="0"/>
      <w:marTop w:val="0"/>
      <w:marBottom w:val="0"/>
      <w:divBdr>
        <w:top w:val="none" w:sz="0" w:space="0" w:color="auto"/>
        <w:left w:val="none" w:sz="0" w:space="0" w:color="auto"/>
        <w:bottom w:val="none" w:sz="0" w:space="0" w:color="auto"/>
        <w:right w:val="none" w:sz="0" w:space="0" w:color="auto"/>
      </w:divBdr>
    </w:div>
    <w:div w:id="2099014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ian_month_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Allocation</a:t>
            </a:r>
            <a:r>
              <a:rPr lang="en-US" baseline="0"/>
              <a:t> change &gt; 1 Million Dollars) vs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month_table!$B$67</c:f>
              <c:strCache>
                <c:ptCount val="1"/>
                <c:pt idx="0">
                  <c:v>Print</c:v>
                </c:pt>
              </c:strCache>
            </c:strRef>
          </c:tx>
          <c:spPr>
            <a:solidFill>
              <a:srgbClr val="FFFF00"/>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month_table!$B$68:$B$79</c:f>
              <c:numCache>
                <c:formatCode>0</c:formatCode>
                <c:ptCount val="12"/>
                <c:pt idx="0">
                  <c:v>0</c:v>
                </c:pt>
                <c:pt idx="1">
                  <c:v>0</c:v>
                </c:pt>
                <c:pt idx="2">
                  <c:v>1</c:v>
                </c:pt>
                <c:pt idx="3">
                  <c:v>0</c:v>
                </c:pt>
                <c:pt idx="4">
                  <c:v>1</c:v>
                </c:pt>
                <c:pt idx="5">
                  <c:v>1</c:v>
                </c:pt>
                <c:pt idx="6">
                  <c:v>1</c:v>
                </c:pt>
                <c:pt idx="7">
                  <c:v>1</c:v>
                </c:pt>
                <c:pt idx="8">
                  <c:v>1</c:v>
                </c:pt>
                <c:pt idx="9">
                  <c:v>1</c:v>
                </c:pt>
                <c:pt idx="10">
                  <c:v>1</c:v>
                </c:pt>
                <c:pt idx="11">
                  <c:v>0</c:v>
                </c:pt>
              </c:numCache>
            </c:numRef>
          </c:val>
          <c:extLst>
            <c:ext xmlns:c16="http://schemas.microsoft.com/office/drawing/2014/chart" uri="{C3380CC4-5D6E-409C-BE32-E72D297353CC}">
              <c16:uniqueId val="{00000000-7B1A-494A-960D-9D6AE526318E}"/>
            </c:ext>
          </c:extLst>
        </c:ser>
        <c:ser>
          <c:idx val="1"/>
          <c:order val="1"/>
          <c:tx>
            <c:strRef>
              <c:f>month_table!$C$67</c:f>
              <c:strCache>
                <c:ptCount val="1"/>
                <c:pt idx="0">
                  <c:v>TV</c:v>
                </c:pt>
              </c:strCache>
            </c:strRef>
          </c:tx>
          <c:spPr>
            <a:solidFill>
              <a:schemeClr val="accent2"/>
            </a:solidFill>
            <a:ln>
              <a:noFill/>
            </a:ln>
            <a:effectLst/>
          </c:spPr>
          <c:invertIfNegative val="0"/>
          <c:dPt>
            <c:idx val="11"/>
            <c:invertIfNegative val="0"/>
            <c:bubble3D val="0"/>
            <c:spPr>
              <a:solidFill>
                <a:srgbClr val="FF0000"/>
              </a:solidFill>
              <a:ln>
                <a:noFill/>
              </a:ln>
              <a:effectLst/>
            </c:spPr>
            <c:extLst>
              <c:ext xmlns:c16="http://schemas.microsoft.com/office/drawing/2014/chart" uri="{C3380CC4-5D6E-409C-BE32-E72D297353CC}">
                <c16:uniqueId val="{00000002-7B1A-494A-960D-9D6AE526318E}"/>
              </c:ext>
            </c:extLst>
          </c:dPt>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month_table!$C$68:$C$79</c:f>
              <c:numCache>
                <c:formatCode>0</c:formatCode>
                <c:ptCount val="12"/>
                <c:pt idx="0">
                  <c:v>0</c:v>
                </c:pt>
                <c:pt idx="1">
                  <c:v>0</c:v>
                </c:pt>
                <c:pt idx="2">
                  <c:v>0</c:v>
                </c:pt>
                <c:pt idx="3">
                  <c:v>0</c:v>
                </c:pt>
                <c:pt idx="4">
                  <c:v>0</c:v>
                </c:pt>
                <c:pt idx="5">
                  <c:v>0</c:v>
                </c:pt>
                <c:pt idx="6">
                  <c:v>0</c:v>
                </c:pt>
                <c:pt idx="7">
                  <c:v>0</c:v>
                </c:pt>
                <c:pt idx="8">
                  <c:v>0</c:v>
                </c:pt>
                <c:pt idx="9">
                  <c:v>0</c:v>
                </c:pt>
                <c:pt idx="10">
                  <c:v>0</c:v>
                </c:pt>
                <c:pt idx="11">
                  <c:v>1</c:v>
                </c:pt>
              </c:numCache>
            </c:numRef>
          </c:val>
          <c:extLst>
            <c:ext xmlns:c16="http://schemas.microsoft.com/office/drawing/2014/chart" uri="{C3380CC4-5D6E-409C-BE32-E72D297353CC}">
              <c16:uniqueId val="{00000003-7B1A-494A-960D-9D6AE526318E}"/>
            </c:ext>
          </c:extLst>
        </c:ser>
        <c:ser>
          <c:idx val="2"/>
          <c:order val="2"/>
          <c:tx>
            <c:strRef>
              <c:f>month_table!$D$67</c:f>
              <c:strCache>
                <c:ptCount val="1"/>
                <c:pt idx="0">
                  <c:v>SEO</c:v>
                </c:pt>
              </c:strCache>
            </c:strRef>
          </c:tx>
          <c:spPr>
            <a:solidFill>
              <a:schemeClr val="accent3"/>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month_table!$D$68:$D$79</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4-7B1A-494A-960D-9D6AE526318E}"/>
            </c:ext>
          </c:extLst>
        </c:ser>
        <c:ser>
          <c:idx val="3"/>
          <c:order val="3"/>
          <c:tx>
            <c:strRef>
              <c:f>month_table!$E$67</c:f>
              <c:strCache>
                <c:ptCount val="1"/>
                <c:pt idx="0">
                  <c:v>AdWords</c:v>
                </c:pt>
              </c:strCache>
            </c:strRef>
          </c:tx>
          <c:spPr>
            <a:solidFill>
              <a:srgbClr val="7030A0"/>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month_table!$E$68:$E$79</c:f>
              <c:numCache>
                <c:formatCode>0</c:formatCode>
                <c:ptCount val="12"/>
                <c:pt idx="0">
                  <c:v>0</c:v>
                </c:pt>
                <c:pt idx="1">
                  <c:v>1</c:v>
                </c:pt>
                <c:pt idx="2">
                  <c:v>0</c:v>
                </c:pt>
                <c:pt idx="3">
                  <c:v>0</c:v>
                </c:pt>
                <c:pt idx="4">
                  <c:v>1</c:v>
                </c:pt>
                <c:pt idx="5">
                  <c:v>0</c:v>
                </c:pt>
                <c:pt idx="6">
                  <c:v>1</c:v>
                </c:pt>
                <c:pt idx="7">
                  <c:v>1</c:v>
                </c:pt>
                <c:pt idx="8">
                  <c:v>1</c:v>
                </c:pt>
                <c:pt idx="9">
                  <c:v>0</c:v>
                </c:pt>
                <c:pt idx="10">
                  <c:v>0</c:v>
                </c:pt>
                <c:pt idx="11">
                  <c:v>1</c:v>
                </c:pt>
              </c:numCache>
            </c:numRef>
          </c:val>
          <c:extLst>
            <c:ext xmlns:c16="http://schemas.microsoft.com/office/drawing/2014/chart" uri="{C3380CC4-5D6E-409C-BE32-E72D297353CC}">
              <c16:uniqueId val="{00000005-7B1A-494A-960D-9D6AE526318E}"/>
            </c:ext>
          </c:extLst>
        </c:ser>
        <c:ser>
          <c:idx val="4"/>
          <c:order val="4"/>
          <c:tx>
            <c:strRef>
              <c:f>month_table!$F$67</c:f>
              <c:strCache>
                <c:ptCount val="1"/>
                <c:pt idx="0">
                  <c:v>Facebook</c:v>
                </c:pt>
              </c:strCache>
            </c:strRef>
          </c:tx>
          <c:spPr>
            <a:solidFill>
              <a:schemeClr val="accent6">
                <a:lumMod val="20000"/>
                <a:lumOff val="80000"/>
              </a:schemeClr>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month_table!$F$68:$F$79</c:f>
              <c:numCache>
                <c:formatCode>0</c:formatCode>
                <c:ptCount val="12"/>
                <c:pt idx="0">
                  <c:v>0</c:v>
                </c:pt>
                <c:pt idx="1">
                  <c:v>1</c:v>
                </c:pt>
                <c:pt idx="2">
                  <c:v>1</c:v>
                </c:pt>
                <c:pt idx="3">
                  <c:v>0</c:v>
                </c:pt>
                <c:pt idx="4">
                  <c:v>0</c:v>
                </c:pt>
                <c:pt idx="5">
                  <c:v>0</c:v>
                </c:pt>
                <c:pt idx="6">
                  <c:v>1</c:v>
                </c:pt>
                <c:pt idx="7">
                  <c:v>1</c:v>
                </c:pt>
                <c:pt idx="8">
                  <c:v>0</c:v>
                </c:pt>
                <c:pt idx="9">
                  <c:v>0</c:v>
                </c:pt>
                <c:pt idx="10">
                  <c:v>0</c:v>
                </c:pt>
                <c:pt idx="11">
                  <c:v>1</c:v>
                </c:pt>
              </c:numCache>
            </c:numRef>
          </c:val>
          <c:extLst>
            <c:ext xmlns:c16="http://schemas.microsoft.com/office/drawing/2014/chart" uri="{C3380CC4-5D6E-409C-BE32-E72D297353CC}">
              <c16:uniqueId val="{00000006-7B1A-494A-960D-9D6AE526318E}"/>
            </c:ext>
          </c:extLst>
        </c:ser>
        <c:ser>
          <c:idx val="5"/>
          <c:order val="5"/>
          <c:tx>
            <c:strRef>
              <c:f>month_table!$G$67</c:f>
              <c:strCache>
                <c:ptCount val="1"/>
                <c:pt idx="0">
                  <c:v>LinkedIn</c:v>
                </c:pt>
              </c:strCache>
            </c:strRef>
          </c:tx>
          <c:spPr>
            <a:solidFill>
              <a:srgbClr val="788216"/>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month_table!$G$68:$G$79</c:f>
              <c:numCache>
                <c:formatCode>0</c:formatCode>
                <c:ptCount val="12"/>
                <c:pt idx="0">
                  <c:v>0</c:v>
                </c:pt>
                <c:pt idx="1">
                  <c:v>0</c:v>
                </c:pt>
                <c:pt idx="2">
                  <c:v>1</c:v>
                </c:pt>
                <c:pt idx="3">
                  <c:v>0</c:v>
                </c:pt>
                <c:pt idx="4">
                  <c:v>1</c:v>
                </c:pt>
                <c:pt idx="5">
                  <c:v>0</c:v>
                </c:pt>
                <c:pt idx="6">
                  <c:v>0</c:v>
                </c:pt>
                <c:pt idx="7">
                  <c:v>0</c:v>
                </c:pt>
                <c:pt idx="8">
                  <c:v>1</c:v>
                </c:pt>
                <c:pt idx="9">
                  <c:v>0</c:v>
                </c:pt>
                <c:pt idx="10">
                  <c:v>1</c:v>
                </c:pt>
                <c:pt idx="11">
                  <c:v>1</c:v>
                </c:pt>
              </c:numCache>
            </c:numRef>
          </c:val>
          <c:extLst>
            <c:ext xmlns:c16="http://schemas.microsoft.com/office/drawing/2014/chart" uri="{C3380CC4-5D6E-409C-BE32-E72D297353CC}">
              <c16:uniqueId val="{00000007-7B1A-494A-960D-9D6AE526318E}"/>
            </c:ext>
          </c:extLst>
        </c:ser>
        <c:ser>
          <c:idx val="6"/>
          <c:order val="6"/>
          <c:tx>
            <c:strRef>
              <c:f>month_table!$H$67</c:f>
              <c:strCache>
                <c:ptCount val="1"/>
                <c:pt idx="0">
                  <c:v>Instagram</c:v>
                </c:pt>
              </c:strCache>
            </c:strRef>
          </c:tx>
          <c:spPr>
            <a:solidFill>
              <a:srgbClr val="FE86B1"/>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month_table!$H$68:$H$79</c:f>
              <c:numCache>
                <c:formatCode>0</c:formatCode>
                <c:ptCount val="12"/>
                <c:pt idx="0">
                  <c:v>0</c:v>
                </c:pt>
                <c:pt idx="1">
                  <c:v>1</c:v>
                </c:pt>
                <c:pt idx="2">
                  <c:v>1</c:v>
                </c:pt>
                <c:pt idx="3">
                  <c:v>1</c:v>
                </c:pt>
                <c:pt idx="4">
                  <c:v>0</c:v>
                </c:pt>
                <c:pt idx="5">
                  <c:v>0</c:v>
                </c:pt>
                <c:pt idx="6">
                  <c:v>0</c:v>
                </c:pt>
                <c:pt idx="7">
                  <c:v>1</c:v>
                </c:pt>
                <c:pt idx="8">
                  <c:v>0</c:v>
                </c:pt>
                <c:pt idx="9">
                  <c:v>1</c:v>
                </c:pt>
                <c:pt idx="10">
                  <c:v>0</c:v>
                </c:pt>
                <c:pt idx="11">
                  <c:v>1</c:v>
                </c:pt>
              </c:numCache>
            </c:numRef>
          </c:val>
          <c:extLst>
            <c:ext xmlns:c16="http://schemas.microsoft.com/office/drawing/2014/chart" uri="{C3380CC4-5D6E-409C-BE32-E72D297353CC}">
              <c16:uniqueId val="{00000008-7B1A-494A-960D-9D6AE526318E}"/>
            </c:ext>
          </c:extLst>
        </c:ser>
        <c:ser>
          <c:idx val="7"/>
          <c:order val="7"/>
          <c:tx>
            <c:strRef>
              <c:f>month_table!$I$67</c:f>
              <c:strCache>
                <c:ptCount val="1"/>
                <c:pt idx="0">
                  <c:v>Snapchat</c:v>
                </c:pt>
              </c:strCache>
            </c:strRef>
          </c:tx>
          <c:spPr>
            <a:solidFill>
              <a:schemeClr val="accent2">
                <a:lumMod val="60000"/>
              </a:schemeClr>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month_table!$I$68:$I$79</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9-7B1A-494A-960D-9D6AE526318E}"/>
            </c:ext>
          </c:extLst>
        </c:ser>
        <c:ser>
          <c:idx val="8"/>
          <c:order val="8"/>
          <c:tx>
            <c:strRef>
              <c:f>month_table!$J$67</c:f>
              <c:strCache>
                <c:ptCount val="1"/>
                <c:pt idx="0">
                  <c:v>Twitter</c:v>
                </c:pt>
              </c:strCache>
            </c:strRef>
          </c:tx>
          <c:spPr>
            <a:solidFill>
              <a:srgbClr val="00B0F0"/>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month_table!$J$68:$J$79</c:f>
              <c:numCache>
                <c:formatCode>0</c:formatCode>
                <c:ptCount val="12"/>
                <c:pt idx="0">
                  <c:v>0</c:v>
                </c:pt>
                <c:pt idx="1">
                  <c:v>1</c:v>
                </c:pt>
                <c:pt idx="2">
                  <c:v>1</c:v>
                </c:pt>
                <c:pt idx="3">
                  <c:v>1</c:v>
                </c:pt>
                <c:pt idx="4">
                  <c:v>1</c:v>
                </c:pt>
                <c:pt idx="5">
                  <c:v>0</c:v>
                </c:pt>
                <c:pt idx="6">
                  <c:v>0</c:v>
                </c:pt>
                <c:pt idx="7">
                  <c:v>0</c:v>
                </c:pt>
                <c:pt idx="8">
                  <c:v>0</c:v>
                </c:pt>
                <c:pt idx="9">
                  <c:v>1</c:v>
                </c:pt>
                <c:pt idx="10">
                  <c:v>0</c:v>
                </c:pt>
                <c:pt idx="11">
                  <c:v>0</c:v>
                </c:pt>
              </c:numCache>
            </c:numRef>
          </c:val>
          <c:extLst>
            <c:ext xmlns:c16="http://schemas.microsoft.com/office/drawing/2014/chart" uri="{C3380CC4-5D6E-409C-BE32-E72D297353CC}">
              <c16:uniqueId val="{0000000A-7B1A-494A-960D-9D6AE526318E}"/>
            </c:ext>
          </c:extLst>
        </c:ser>
        <c:ser>
          <c:idx val="9"/>
          <c:order val="9"/>
          <c:tx>
            <c:strRef>
              <c:f>month_table!$K$67</c:f>
              <c:strCache>
                <c:ptCount val="1"/>
                <c:pt idx="0">
                  <c:v>Email</c:v>
                </c:pt>
              </c:strCache>
            </c:strRef>
          </c:tx>
          <c:spPr>
            <a:solidFill>
              <a:schemeClr val="accent2">
                <a:lumMod val="60000"/>
                <a:lumOff val="40000"/>
              </a:schemeClr>
            </a:solidFill>
            <a:ln>
              <a:noFill/>
            </a:ln>
            <a:effectLst/>
          </c:spPr>
          <c:invertIfNegative val="0"/>
          <c:cat>
            <c:strRef>
              <c:f>month_table!$A$68:$A$79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month_table!$K$68:$K$79</c:f>
              <c:numCache>
                <c:formatCode>0</c:formatCode>
                <c:ptCount val="12"/>
                <c:pt idx="0">
                  <c:v>0</c:v>
                </c:pt>
                <c:pt idx="1">
                  <c:v>1</c:v>
                </c:pt>
                <c:pt idx="2">
                  <c:v>0</c:v>
                </c:pt>
                <c:pt idx="3">
                  <c:v>0</c:v>
                </c:pt>
                <c:pt idx="4">
                  <c:v>1</c:v>
                </c:pt>
                <c:pt idx="5">
                  <c:v>0</c:v>
                </c:pt>
                <c:pt idx="6">
                  <c:v>1</c:v>
                </c:pt>
                <c:pt idx="7">
                  <c:v>1</c:v>
                </c:pt>
                <c:pt idx="8">
                  <c:v>1</c:v>
                </c:pt>
                <c:pt idx="9">
                  <c:v>1</c:v>
                </c:pt>
                <c:pt idx="10">
                  <c:v>0</c:v>
                </c:pt>
                <c:pt idx="11">
                  <c:v>0</c:v>
                </c:pt>
              </c:numCache>
            </c:numRef>
          </c:val>
          <c:extLst>
            <c:ext xmlns:c16="http://schemas.microsoft.com/office/drawing/2014/chart" uri="{C3380CC4-5D6E-409C-BE32-E72D297353CC}">
              <c16:uniqueId val="{0000000B-7B1A-494A-960D-9D6AE526318E}"/>
            </c:ext>
          </c:extLst>
        </c:ser>
        <c:dLbls>
          <c:showLegendKey val="0"/>
          <c:showVal val="0"/>
          <c:showCatName val="0"/>
          <c:showSerName val="0"/>
          <c:showPercent val="0"/>
          <c:showBubbleSize val="0"/>
        </c:dLbls>
        <c:gapWidth val="219"/>
        <c:overlap val="100"/>
        <c:axId val="739118768"/>
        <c:axId val="739122048"/>
      </c:barChart>
      <c:catAx>
        <c:axId val="73911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122048"/>
        <c:crosses val="autoZero"/>
        <c:auto val="1"/>
        <c:lblAlgn val="ctr"/>
        <c:lblOffset val="100"/>
        <c:noMultiLvlLbl val="0"/>
      </c:catAx>
      <c:valAx>
        <c:axId val="7391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Channels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11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DC73-26ED-48D7-937B-639618348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42</cp:revision>
  <cp:lastPrinted>2023-09-25T23:16:00Z</cp:lastPrinted>
  <dcterms:created xsi:type="dcterms:W3CDTF">2023-09-25T02:03:00Z</dcterms:created>
  <dcterms:modified xsi:type="dcterms:W3CDTF">2023-09-26T03:00:00Z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9f0484d3da9ca1694eb31a1224bd418c55045ba972f31bed23b26cc42f1f7e83</vt:lpwstr>
  </property>
</Properties>
</file>