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rFonts w:ascii="Georgia" w:cs="Georgia" w:eastAsia="Georgia" w:hAnsi="Georgia"/>
          <w:b/>
          <w:bCs/>
          <w:color w:val="131B20"/>
          <w:sz w:val="46"/>
          <w:szCs w:val="46"/>
        </w:rPr>
        <w:t xml:space="preserve">How We Cut a Client's LLM API Costs by 55% Without Reducing AI Quality</w:t>
      </w:r>
    </w:p>
    <w:p>
      <w:pPr>
        <w:spacing w:after="200"/>
      </w:pPr>
      <w:r>
        <w:rPr>
          <w:i w:val="false"/>
          <w:iCs w:val="false"/>
          <w:color w:val="5B6B72"/>
          <w:sz w:val="24"/>
          <w:szCs w:val="24"/>
        </w:rPr>
        <w:t xml:space="preserve">A field report from a 7-week engagement: how a token-level spend audit, model routing, and prompt caching took a customer support platform's GPT-4 bill from $118,400 to $53,300 a month, with quality scores flat the whole time.</w:t>
      </w:r>
    </w:p>
    <w:p>
      <w:pPr>
        <w:pBdr>
          <w:top w:val="single" w:color="D9DFDD" w:sz="4"/>
          <w:bottom w:val="single" w:color="D9DFDD" w:sz="4"/>
        </w:pBdr>
        <w:spacing w:after="300"/>
      </w:pPr>
      <w:r>
        <w:rPr>
          <w:rFonts w:ascii="Courier New" w:cs="Courier New" w:eastAsia="Courier New" w:hAnsi="Courier New"/>
          <w:color w:val="5B6B72"/>
          <w:sz w:val="18"/>
          <w:szCs w:val="18"/>
        </w:rPr>
        <w:t xml:space="preserve">ENGINEERING · CASE STUDY     7-WEEK ENGAGEMENT     55% COST REDUCTION     0 QUALITY REGRESSION</w:t>
      </w:r>
    </w:p>
    <w:p>
      <w:pPr>
        <w:spacing w:after="60"/>
      </w:pPr>
      <w:r>
        <w:drawing>
          <wp:inline distT="0" distB="0" distL="0" distR="0">
            <wp:extent cx="90487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504825"/>
                    </a:xfrm>
                    <a:prstGeom prst="rect">
                      <a:avLst/>
                    </a:prstGeom>
                  </pic:spPr>
                </pic:pic>
              </a:graphicData>
            </a:graphic>
          </wp:inline>
        </w:drawing>
      </w:r>
    </w:p>
    <w:p>
      <w:pPr>
        <w:spacing w:after="200"/>
      </w:pPr>
    </w:p>
    <w:tbl>
      <w:tblPr>
        <w:tblW w:type="dxa" w:w="9360"/>
        <w:tblBorders>
          <w:top w:val="single" w:color="D9DFDD" w:sz="4"/>
          <w:left w:val="single" w:color="0D7D63" w:sz="24"/>
          <w:bottom w:val="single" w:color="D9DFDD" w:sz="4"/>
          <w:right w:val="single" w:color="D9DFDD" w:sz="4"/>
          <w:insideH w:val="none" w:color="D9DFDD" w:sz="0"/>
          <w:insideV w:val="none" w:color="D9DFDD" w:sz="0"/>
        </w:tblBorders>
      </w:tblPr>
      <w:tblGrid>
        <w:gridCol w:w="9360"/>
      </w:tblGrid>
      <w:tr>
        <w:tc>
          <w:tcPr>
            <w:tcW w:type="dxa" w:w="9360"/>
            <w:shd w:fill="F4F6F5" w:val="clear"/>
            <w:tcMar>
              <w:top w:type="dxa" w:w="220"/>
              <w:left w:type="dxa" w:w="260"/>
              <w:bottom w:type="dxa" w:w="220"/>
              <w:right w:type="dxa" w:w="260"/>
            </w:tcMar>
          </w:tcPr>
          <w:p>
            <w:pPr>
              <w:spacing w:after="160"/>
            </w:pPr>
            <w:r>
              <w:rPr>
                <w:rFonts w:ascii="Courier New" w:cs="Courier New" w:eastAsia="Courier New" w:hAnsi="Courier New"/>
                <w:b/>
                <w:bCs/>
                <w:color w:val="0D7D63"/>
                <w:spacing w:val="20"/>
                <w:sz w:val="18"/>
                <w:szCs w:val="18"/>
              </w:rPr>
              <w:t xml:space="preserve">TL;DR</w:t>
            </w:r>
          </w:p>
          <w:p>
            <w:pPr>
              <w:pStyle w:val="ListParagraph"/>
              <w:numPr>
                <w:ilvl w:val="0"/>
                <w:numId w:val="2"/>
              </w:numPr>
              <w:spacing w:after="100"/>
            </w:pPr>
            <w:r>
              <w:rPr>
                <w:b/>
                <w:bCs/>
                <w:color w:val="131B20"/>
                <w:sz w:val="22"/>
                <w:szCs w:val="22"/>
              </w:rPr>
              <w:t xml:space="preserve">Client: </w:t>
            </w:r>
            <w:r>
              <w:rPr>
                <w:color w:val="131B20"/>
                <w:sz w:val="22"/>
                <w:szCs w:val="22"/>
              </w:rPr>
              <w:t xml:space="preserve">a mid-size customer support SaaS platform, ~40,000 tickets/month through GPT-4</w:t>
            </w:r>
          </w:p>
          <w:p>
            <w:pPr>
              <w:pStyle w:val="ListParagraph"/>
              <w:numPr>
                <w:ilvl w:val="0"/>
                <w:numId w:val="2"/>
              </w:numPr>
              <w:spacing w:after="100"/>
            </w:pPr>
            <w:r>
              <w:rPr>
                <w:b/>
                <w:bCs/>
                <w:color w:val="131B20"/>
                <w:sz w:val="22"/>
                <w:szCs w:val="22"/>
              </w:rPr>
              <w:t xml:space="preserve">Starting cost: </w:t>
            </w:r>
            <w:r>
              <w:rPr>
                <w:color w:val="131B20"/>
                <w:sz w:val="22"/>
                <w:szCs w:val="22"/>
              </w:rPr>
              <w:t xml:space="preserve">$118,400/month, growing 22% month-over-month</w:t>
            </w:r>
          </w:p>
          <w:p>
            <w:pPr>
              <w:pStyle w:val="ListParagraph"/>
              <w:numPr>
                <w:ilvl w:val="0"/>
                <w:numId w:val="2"/>
              </w:numPr>
              <w:spacing w:after="100"/>
            </w:pPr>
            <w:r>
              <w:rPr>
                <w:b/>
                <w:bCs/>
                <w:color w:val="131B20"/>
                <w:sz w:val="22"/>
                <w:szCs w:val="22"/>
              </w:rPr>
              <w:t xml:space="preserve">Ending cost: </w:t>
            </w:r>
            <w:r>
              <w:rPr>
                <w:color w:val="131B20"/>
                <w:sz w:val="22"/>
                <w:szCs w:val="22"/>
              </w:rPr>
              <w:t xml:space="preserve">$53,300/month, a 55% reduction, via model routing, prompt caching, semantic caching, and context trimming</w:t>
            </w:r>
          </w:p>
          <w:p>
            <w:pPr>
              <w:pStyle w:val="ListParagraph"/>
              <w:numPr>
                <w:ilvl w:val="0"/>
                <w:numId w:val="2"/>
              </w:numPr>
              <w:spacing w:after="100"/>
            </w:pPr>
            <w:r>
              <w:rPr>
                <w:b/>
                <w:bCs/>
                <w:color w:val="131B20"/>
                <w:sz w:val="22"/>
                <w:szCs w:val="22"/>
              </w:rPr>
              <w:t xml:space="preserve">Quality: </w:t>
            </w:r>
            <w:r>
              <w:rPr>
                <w:color w:val="131B20"/>
                <w:sz w:val="22"/>
                <w:szCs w:val="22"/>
              </w:rPr>
              <w:t xml:space="preserve">task success rate held at 94.1% to 94.3% across a 1,200-ticket golden dataset; human quality score unchanged at 4.6/5</w:t>
            </w:r>
          </w:p>
        </w:tc>
      </w:tr>
    </w:tbl>
    <w:p>
      <w:pPr>
        <w:spacing w:after="300"/>
      </w:pPr>
    </w:p>
    <w:p>
      <w:pPr>
        <w:pStyle w:val="Heading1"/>
        <w:pBdr>
          <w:top w:val="single" w:color="D9DFDD" w:sz="4"/>
        </w:pBdr>
        <w:spacing w:after="200" w:before="480"/>
      </w:pPr>
      <w:r>
        <w:rPr>
          <w:rFonts w:ascii="Georgia" w:cs="Georgia" w:eastAsia="Georgia" w:hAnsi="Georgia"/>
          <w:b/>
          <w:bCs/>
          <w:color w:val="131B20"/>
          <w:sz w:val="32"/>
          <w:szCs w:val="32"/>
        </w:rPr>
        <w:t xml:space="preserve">The Problem</w:t>
      </w:r>
    </w:p>
    <w:p>
      <w:pPr>
        <w:spacing w:after="180"/>
      </w:pPr>
      <w:r>
        <w:rPr>
          <w:color w:val="131B20"/>
          <w:sz w:val="22"/>
          <w:szCs w:val="22"/>
        </w:rPr>
        <w:t xml:space="preserve">Our client, a mid-size B2B customer support platform processing tens of thousands of support tickets a month for its own customers, came to us with a simple complaint: their LLM inference cost had become their second-largest infrastructure line item, behind only their database fleet.</w:t>
      </w:r>
    </w:p>
    <w:p>
      <w:pPr>
        <w:spacing w:after="180"/>
      </w:pPr>
      <w:r>
        <w:rPr>
          <w:color w:val="131B20"/>
          <w:sz w:val="22"/>
          <w:szCs w:val="22"/>
        </w:rPr>
        <w:t xml:space="preserve">At the time we started the engagement:</w:t>
      </w:r>
    </w:p>
    <w:p>
      <w:pPr>
        <w:pStyle w:val="ListParagraph"/>
        <w:numPr>
          <w:ilvl w:val="0"/>
          <w:numId w:val="3"/>
        </w:numPr>
        <w:spacing w:after="120"/>
      </w:pPr>
      <w:r>
        <w:rPr>
          <w:b/>
          <w:bCs/>
          <w:color w:val="131B20"/>
          <w:sz w:val="22"/>
          <w:szCs w:val="22"/>
        </w:rPr>
        <w:t xml:space="preserve">$118,400/month </w:t>
      </w:r>
      <w:r>
        <w:rPr>
          <w:color w:val="131B20"/>
          <w:sz w:val="22"/>
          <w:szCs w:val="22"/>
        </w:rPr>
        <w:t xml:space="preserve">in combined OpenAI API spend across three product features: ticket triage, auto-drafted replies, and daily summarization digests</w:t>
      </w:r>
    </w:p>
    <w:p>
      <w:pPr>
        <w:pStyle w:val="ListParagraph"/>
        <w:numPr>
          <w:ilvl w:val="0"/>
          <w:numId w:val="3"/>
        </w:numPr>
        <w:spacing w:after="120"/>
      </w:pPr>
      <w:r>
        <w:rPr>
          <w:color w:val="131B20"/>
          <w:sz w:val="22"/>
          <w:szCs w:val="22"/>
        </w:rPr>
        <w:t xml:space="preserve">LLM spend was </w:t>
      </w:r>
      <w:r>
        <w:rPr>
          <w:b/>
          <w:bCs/>
          <w:color w:val="131B20"/>
          <w:sz w:val="22"/>
          <w:szCs w:val="22"/>
        </w:rPr>
        <w:t xml:space="preserve">~9% of COGS</w:t>
      </w:r>
      <w:r>
        <w:rPr>
          <w:color w:val="131B20"/>
          <w:sz w:val="22"/>
          <w:szCs w:val="22"/>
        </w:rPr>
        <w:t xml:space="preserve">, up from 4% two quarters earlier</w:t>
      </w:r>
    </w:p>
    <w:p>
      <w:pPr>
        <w:pStyle w:val="ListParagraph"/>
        <w:numPr>
          <w:ilvl w:val="0"/>
          <w:numId w:val="3"/>
        </w:numPr>
        <w:spacing w:after="120"/>
      </w:pPr>
      <w:r>
        <w:rPr>
          <w:color w:val="131B20"/>
          <w:sz w:val="22"/>
          <w:szCs w:val="22"/>
        </w:rPr>
        <w:t xml:space="preserve">Month-over-month growth in API spend was outpacing revenue growth by roughly 3x, driven by both ticket volume and rising token volume per ticket. Prompts had grown every time a bug report suggested "just add more context"</w:t>
      </w:r>
    </w:p>
    <w:p>
      <w:pPr>
        <w:pStyle w:val="ListParagraph"/>
        <w:numPr>
          <w:ilvl w:val="0"/>
          <w:numId w:val="3"/>
        </w:numPr>
        <w:spacing w:after="120"/>
      </w:pPr>
      <w:r>
        <w:rPr>
          <w:color w:val="131B20"/>
          <w:sz w:val="22"/>
          <w:szCs w:val="22"/>
        </w:rPr>
        <w:t xml:space="preserve">Every request, regardless of complexity, was going to </w:t>
      </w:r>
      <w:r>
        <w:rPr>
          <w:b/>
          <w:bCs/>
          <w:color w:val="131B20"/>
          <w:sz w:val="22"/>
          <w:szCs w:val="22"/>
        </w:rPr>
        <w:t xml:space="preserve">GPT-4</w:t>
      </w:r>
      <w:r>
        <w:rPr>
          <w:color w:val="131B20"/>
          <w:sz w:val="22"/>
          <w:szCs w:val="22"/>
        </w:rPr>
        <w:t xml:space="preserve">, the full model, no smaller variant in the mix</w:t>
      </w:r>
    </w:p>
    <w:p>
      <w:pPr>
        <w:spacing w:after="80"/>
      </w:pPr>
    </w:p>
    <w:p>
      <w:pPr>
        <w:spacing w:after="180"/>
      </w:pPr>
      <w:r>
        <w:rPr>
          <w:color w:val="131B20"/>
          <w:sz w:val="22"/>
          <w:szCs w:val="22"/>
        </w:rPr>
        <w:t xml:space="preserve">The trigger for the engagement was a board conversation: at current growth rates, LLM spend would exceed database spend within two quarters, and nobody on the eng team had a clear model of why the bill looked the way it did. Fairly common starting point, and the right one. You can't optimize a cost you can't decompose.</w:t>
      </w:r>
    </w:p>
    <w:p>
      <w:pPr>
        <w:pStyle w:val="Heading1"/>
        <w:pBdr>
          <w:top w:val="single" w:color="D9DFDD" w:sz="4"/>
        </w:pBdr>
        <w:spacing w:after="200" w:before="480"/>
      </w:pPr>
      <w:r>
        <w:rPr>
          <w:rFonts w:ascii="Georgia" w:cs="Georgia" w:eastAsia="Georgia" w:hAnsi="Georgia"/>
          <w:b/>
          <w:bCs/>
          <w:color w:val="131B20"/>
          <w:sz w:val="32"/>
          <w:szCs w:val="32"/>
        </w:rPr>
        <w:t xml:space="preserve">Diagnosis: Why an LLM Cost Optimization Case Study Starts With an Audit</w:t>
      </w:r>
    </w:p>
    <w:p>
      <w:pPr>
        <w:spacing w:after="180"/>
      </w:pPr>
      <w:r>
        <w:rPr>
          <w:color w:val="131B20"/>
          <w:sz w:val="22"/>
          <w:szCs w:val="22"/>
        </w:rPr>
        <w:t xml:space="preserve">Before touching any code, we spent the first week purely on measurement. We instrumented every LLM call site with token-level logging (input tokens, output tokens, model used, feature/endpoint, cache hit/miss) and let it run for five business days to get a representative sample.</w:t>
      </w:r>
    </w:p>
    <w:tbl>
      <w:tblPr>
        <w:tblW w:type="dxa" w:w="9360"/>
        <w:tblBorders>
          <w:top w:val="single" w:color="D9DFDD" w:sz="4"/>
          <w:left w:val="single" w:color="D9DFDD" w:sz="4"/>
          <w:bottom w:val="single" w:color="D9DFDD" w:sz="4"/>
          <w:right w:val="single" w:color="D9DFDD" w:sz="4"/>
          <w:insideH w:val="single" w:color="D9DFDD" w:sz="4"/>
          <w:insideV w:val="single" w:color="D9DFDD" w:sz="4"/>
        </w:tblBorders>
      </w:tblPr>
      <w:tblGrid>
        <w:gridCol w:w="1872"/>
        <w:gridCol w:w="1872"/>
        <w:gridCol w:w="1872"/>
        <w:gridCol w:w="1872"/>
        <w:gridCol w:w="1872"/>
      </w:tblGrid>
      <w:tr>
        <w:trPr>
          <w:tblHeader/>
        </w:trPr>
        <w:tc>
          <w:tcPr>
            <w:tcW w:type="dxa" w:w="1872"/>
            <w:shd w:fill="F4F6F5" w:val="clear"/>
            <w:tcMar>
              <w:top w:type="dxa" w:w="100"/>
              <w:left w:type="dxa" w:w="140"/>
              <w:bottom w:type="dxa" w:w="100"/>
              <w:right w:type="dxa" w:w="140"/>
            </w:tcMar>
          </w:tcPr>
          <w:p>
            <w:r>
              <w:rPr>
                <w:rFonts w:ascii="Courier New" w:cs="Courier New" w:eastAsia="Courier New" w:hAnsi="Courier New"/>
                <w:b/>
                <w:bCs/>
                <w:color w:val="5B6B72"/>
                <w:sz w:val="14"/>
                <w:szCs w:val="14"/>
              </w:rPr>
              <w:t xml:space="preserve">FEATURE</w:t>
            </w:r>
          </w:p>
        </w:tc>
        <w:tc>
          <w:tcPr>
            <w:tcW w:type="dxa" w:w="1872"/>
            <w:shd w:fill="F4F6F5" w:val="clear"/>
            <w:tcMar>
              <w:top w:type="dxa" w:w="100"/>
              <w:left w:type="dxa" w:w="140"/>
              <w:bottom w:type="dxa" w:w="100"/>
              <w:right w:type="dxa" w:w="140"/>
            </w:tcMar>
          </w:tcPr>
          <w:p>
            <w:r>
              <w:rPr>
                <w:rFonts w:ascii="Courier New" w:cs="Courier New" w:eastAsia="Courier New" w:hAnsi="Courier New"/>
                <w:b/>
                <w:bCs/>
                <w:color w:val="5B6B72"/>
                <w:sz w:val="14"/>
                <w:szCs w:val="14"/>
              </w:rPr>
              <w:t xml:space="preserve">% OF SPEND</w:t>
            </w:r>
          </w:p>
        </w:tc>
        <w:tc>
          <w:tcPr>
            <w:tcW w:type="dxa" w:w="1872"/>
            <w:shd w:fill="F4F6F5" w:val="clear"/>
            <w:tcMar>
              <w:top w:type="dxa" w:w="100"/>
              <w:left w:type="dxa" w:w="140"/>
              <w:bottom w:type="dxa" w:w="100"/>
              <w:right w:type="dxa" w:w="140"/>
            </w:tcMar>
          </w:tcPr>
          <w:p>
            <w:r>
              <w:rPr>
                <w:rFonts w:ascii="Courier New" w:cs="Courier New" w:eastAsia="Courier New" w:hAnsi="Courier New"/>
                <w:b/>
                <w:bCs/>
                <w:color w:val="5B6B72"/>
                <w:sz w:val="14"/>
                <w:szCs w:val="14"/>
              </w:rPr>
              <w:t xml:space="preserve">AVG INPUT</w:t>
            </w:r>
          </w:p>
        </w:tc>
        <w:tc>
          <w:tcPr>
            <w:tcW w:type="dxa" w:w="1872"/>
            <w:shd w:fill="F4F6F5" w:val="clear"/>
            <w:tcMar>
              <w:top w:type="dxa" w:w="100"/>
              <w:left w:type="dxa" w:w="140"/>
              <w:bottom w:type="dxa" w:w="100"/>
              <w:right w:type="dxa" w:w="140"/>
            </w:tcMar>
          </w:tcPr>
          <w:p>
            <w:r>
              <w:rPr>
                <w:rFonts w:ascii="Courier New" w:cs="Courier New" w:eastAsia="Courier New" w:hAnsi="Courier New"/>
                <w:b/>
                <w:bCs/>
                <w:color w:val="5B6B72"/>
                <w:sz w:val="14"/>
                <w:szCs w:val="14"/>
              </w:rPr>
              <w:t xml:space="preserve">AVG OUTPUT</w:t>
            </w:r>
          </w:p>
        </w:tc>
        <w:tc>
          <w:tcPr>
            <w:tcW w:type="dxa" w:w="1872"/>
            <w:shd w:fill="F4F6F5" w:val="clear"/>
            <w:tcMar>
              <w:top w:type="dxa" w:w="100"/>
              <w:left w:type="dxa" w:w="140"/>
              <w:bottom w:type="dxa" w:w="100"/>
              <w:right w:type="dxa" w:w="140"/>
            </w:tcMar>
          </w:tcPr>
          <w:p>
            <w:r>
              <w:rPr>
                <w:rFonts w:ascii="Courier New" w:cs="Courier New" w:eastAsia="Courier New" w:hAnsi="Courier New"/>
                <w:b/>
                <w:bCs/>
                <w:color w:val="5B6B72"/>
                <w:sz w:val="14"/>
                <w:szCs w:val="14"/>
              </w:rPr>
              <w:t xml:space="preserve">MODEL</w:t>
            </w:r>
          </w:p>
        </w:tc>
      </w:tr>
      <w:tr>
        <w:tc>
          <w:tcPr>
            <w:tcW w:type="dxa" w:w="1872"/>
            <w:tcMar>
              <w:top w:type="dxa" w:w="90"/>
              <w:left w:type="dxa" w:w="140"/>
              <w:bottom w:type="dxa" w:w="90"/>
              <w:right w:type="dxa" w:w="140"/>
            </w:tcMar>
            <w:vAlign w:val="center"/>
          </w:tcPr>
          <w:p>
            <w:r>
              <w:rPr>
                <w:b w:val="false"/>
                <w:bCs w:val="false"/>
                <w:color w:val="131B20"/>
                <w:sz w:val="20"/>
                <w:szCs w:val="20"/>
              </w:rPr>
              <w:t xml:space="preserve">Ticket triage (classification)</w:t>
            </w:r>
          </w:p>
        </w:tc>
        <w:tc>
          <w:tcPr>
            <w:tcW w:type="dxa" w:w="1872"/>
            <w:tcMar>
              <w:top w:type="dxa" w:w="90"/>
              <w:left w:type="dxa" w:w="140"/>
              <w:bottom w:type="dxa" w:w="90"/>
              <w:right w:type="dxa" w:w="140"/>
            </w:tcMar>
            <w:vAlign w:val="center"/>
          </w:tcPr>
          <w:p>
            <w:r>
              <w:rPr>
                <w:b w:val="false"/>
                <w:bCs w:val="false"/>
                <w:color w:val="131B20"/>
                <w:sz w:val="20"/>
                <w:szCs w:val="20"/>
              </w:rPr>
              <w:t xml:space="preserve">18%</w:t>
            </w:r>
          </w:p>
        </w:tc>
        <w:tc>
          <w:tcPr>
            <w:tcW w:type="dxa" w:w="1872"/>
            <w:tcMar>
              <w:top w:type="dxa" w:w="90"/>
              <w:left w:type="dxa" w:w="140"/>
              <w:bottom w:type="dxa" w:w="90"/>
              <w:right w:type="dxa" w:w="140"/>
            </w:tcMar>
            <w:vAlign w:val="center"/>
          </w:tcPr>
          <w:p>
            <w:r>
              <w:rPr>
                <w:b w:val="false"/>
                <w:bCs w:val="false"/>
                <w:color w:val="131B20"/>
                <w:sz w:val="20"/>
                <w:szCs w:val="20"/>
              </w:rPr>
              <w:t xml:space="preserve">2,400</w:t>
            </w:r>
          </w:p>
        </w:tc>
        <w:tc>
          <w:tcPr>
            <w:tcW w:type="dxa" w:w="1872"/>
            <w:tcMar>
              <w:top w:type="dxa" w:w="90"/>
              <w:left w:type="dxa" w:w="140"/>
              <w:bottom w:type="dxa" w:w="90"/>
              <w:right w:type="dxa" w:w="140"/>
            </w:tcMar>
            <w:vAlign w:val="center"/>
          </w:tcPr>
          <w:p>
            <w:r>
              <w:rPr>
                <w:b w:val="false"/>
                <w:bCs w:val="false"/>
                <w:color w:val="131B20"/>
                <w:sz w:val="20"/>
                <w:szCs w:val="20"/>
              </w:rPr>
              <w:t xml:space="preserve">60</w:t>
            </w:r>
          </w:p>
        </w:tc>
        <w:tc>
          <w:tcPr>
            <w:tcW w:type="dxa" w:w="1872"/>
            <w:tcMar>
              <w:top w:type="dxa" w:w="90"/>
              <w:left w:type="dxa" w:w="140"/>
              <w:bottom w:type="dxa" w:w="90"/>
              <w:right w:type="dxa" w:w="140"/>
            </w:tcMar>
            <w:vAlign w:val="center"/>
          </w:tcPr>
          <w:p>
            <w:r>
              <w:rPr>
                <w:b w:val="false"/>
                <w:bCs w:val="false"/>
                <w:color w:val="131B20"/>
                <w:sz w:val="20"/>
                <w:szCs w:val="20"/>
              </w:rPr>
              <w:t xml:space="preserve">GPT-4</w:t>
            </w:r>
          </w:p>
        </w:tc>
      </w:tr>
      <w:tr>
        <w:tc>
          <w:tcPr>
            <w:tcW w:type="dxa" w:w="1872"/>
            <w:tcMar>
              <w:top w:type="dxa" w:w="90"/>
              <w:left w:type="dxa" w:w="140"/>
              <w:bottom w:type="dxa" w:w="90"/>
              <w:right w:type="dxa" w:w="140"/>
            </w:tcMar>
            <w:vAlign w:val="center"/>
          </w:tcPr>
          <w:p>
            <w:r>
              <w:rPr>
                <w:b w:val="false"/>
                <w:bCs w:val="false"/>
                <w:color w:val="131B20"/>
                <w:sz w:val="20"/>
                <w:szCs w:val="20"/>
              </w:rPr>
              <w:t xml:space="preserve">Auto-drafted replies</w:t>
            </w:r>
          </w:p>
        </w:tc>
        <w:tc>
          <w:tcPr>
            <w:tcW w:type="dxa" w:w="1872"/>
            <w:tcMar>
              <w:top w:type="dxa" w:w="90"/>
              <w:left w:type="dxa" w:w="140"/>
              <w:bottom w:type="dxa" w:w="90"/>
              <w:right w:type="dxa" w:w="140"/>
            </w:tcMar>
            <w:vAlign w:val="center"/>
          </w:tcPr>
          <w:p>
            <w:r>
              <w:rPr>
                <w:b w:val="false"/>
                <w:bCs w:val="false"/>
                <w:color w:val="131B20"/>
                <w:sz w:val="20"/>
                <w:szCs w:val="20"/>
              </w:rPr>
              <w:t xml:space="preserve">61%</w:t>
            </w:r>
          </w:p>
        </w:tc>
        <w:tc>
          <w:tcPr>
            <w:tcW w:type="dxa" w:w="1872"/>
            <w:tcMar>
              <w:top w:type="dxa" w:w="90"/>
              <w:left w:type="dxa" w:w="140"/>
              <w:bottom w:type="dxa" w:w="90"/>
              <w:right w:type="dxa" w:w="140"/>
            </w:tcMar>
            <w:vAlign w:val="center"/>
          </w:tcPr>
          <w:p>
            <w:r>
              <w:rPr>
                <w:b w:val="false"/>
                <w:bCs w:val="false"/>
                <w:color w:val="131B20"/>
                <w:sz w:val="20"/>
                <w:szCs w:val="20"/>
              </w:rPr>
              <w:t xml:space="preserve">3,900</w:t>
            </w:r>
          </w:p>
        </w:tc>
        <w:tc>
          <w:tcPr>
            <w:tcW w:type="dxa" w:w="1872"/>
            <w:tcMar>
              <w:top w:type="dxa" w:w="90"/>
              <w:left w:type="dxa" w:w="140"/>
              <w:bottom w:type="dxa" w:w="90"/>
              <w:right w:type="dxa" w:w="140"/>
            </w:tcMar>
            <w:vAlign w:val="center"/>
          </w:tcPr>
          <w:p>
            <w:r>
              <w:rPr>
                <w:b w:val="false"/>
                <w:bCs w:val="false"/>
                <w:color w:val="131B20"/>
                <w:sz w:val="20"/>
                <w:szCs w:val="20"/>
              </w:rPr>
              <w:t xml:space="preserve">340</w:t>
            </w:r>
          </w:p>
        </w:tc>
        <w:tc>
          <w:tcPr>
            <w:tcW w:type="dxa" w:w="1872"/>
            <w:tcMar>
              <w:top w:type="dxa" w:w="90"/>
              <w:left w:type="dxa" w:w="140"/>
              <w:bottom w:type="dxa" w:w="90"/>
              <w:right w:type="dxa" w:w="140"/>
            </w:tcMar>
            <w:vAlign w:val="center"/>
          </w:tcPr>
          <w:p>
            <w:r>
              <w:rPr>
                <w:b w:val="false"/>
                <w:bCs w:val="false"/>
                <w:color w:val="131B20"/>
                <w:sz w:val="20"/>
                <w:szCs w:val="20"/>
              </w:rPr>
              <w:t xml:space="preserve">GPT-4</w:t>
            </w:r>
          </w:p>
        </w:tc>
      </w:tr>
      <w:tr>
        <w:tc>
          <w:tcPr>
            <w:tcW w:type="dxa" w:w="1872"/>
            <w:tcMar>
              <w:top w:type="dxa" w:w="90"/>
              <w:left w:type="dxa" w:w="140"/>
              <w:bottom w:type="dxa" w:w="90"/>
              <w:right w:type="dxa" w:w="140"/>
            </w:tcMar>
            <w:vAlign w:val="center"/>
          </w:tcPr>
          <w:p>
            <w:r>
              <w:rPr>
                <w:b w:val="false"/>
                <w:bCs w:val="false"/>
                <w:color w:val="131B20"/>
                <w:sz w:val="20"/>
                <w:szCs w:val="20"/>
              </w:rPr>
              <w:t xml:space="preserve">Daily summarization digests</w:t>
            </w:r>
          </w:p>
        </w:tc>
        <w:tc>
          <w:tcPr>
            <w:tcW w:type="dxa" w:w="1872"/>
            <w:tcMar>
              <w:top w:type="dxa" w:w="90"/>
              <w:left w:type="dxa" w:w="140"/>
              <w:bottom w:type="dxa" w:w="90"/>
              <w:right w:type="dxa" w:w="140"/>
            </w:tcMar>
            <w:vAlign w:val="center"/>
          </w:tcPr>
          <w:p>
            <w:r>
              <w:rPr>
                <w:b w:val="false"/>
                <w:bCs w:val="false"/>
                <w:color w:val="131B20"/>
                <w:sz w:val="20"/>
                <w:szCs w:val="20"/>
              </w:rPr>
              <w:t xml:space="preserve">21%</w:t>
            </w:r>
          </w:p>
        </w:tc>
        <w:tc>
          <w:tcPr>
            <w:tcW w:type="dxa" w:w="1872"/>
            <w:tcMar>
              <w:top w:type="dxa" w:w="90"/>
              <w:left w:type="dxa" w:w="140"/>
              <w:bottom w:type="dxa" w:w="90"/>
              <w:right w:type="dxa" w:w="140"/>
            </w:tcMar>
            <w:vAlign w:val="center"/>
          </w:tcPr>
          <w:p>
            <w:r>
              <w:rPr>
                <w:b w:val="false"/>
                <w:bCs w:val="false"/>
                <w:color w:val="131B20"/>
                <w:sz w:val="20"/>
                <w:szCs w:val="20"/>
              </w:rPr>
              <w:t xml:space="preserve">8,100</w:t>
            </w:r>
          </w:p>
        </w:tc>
        <w:tc>
          <w:tcPr>
            <w:tcW w:type="dxa" w:w="1872"/>
            <w:tcMar>
              <w:top w:type="dxa" w:w="90"/>
              <w:left w:type="dxa" w:w="140"/>
              <w:bottom w:type="dxa" w:w="90"/>
              <w:right w:type="dxa" w:w="140"/>
            </w:tcMar>
            <w:vAlign w:val="center"/>
          </w:tcPr>
          <w:p>
            <w:r>
              <w:rPr>
                <w:b w:val="false"/>
                <w:bCs w:val="false"/>
                <w:color w:val="131B20"/>
                <w:sz w:val="20"/>
                <w:szCs w:val="20"/>
              </w:rPr>
              <w:t xml:space="preserve">900</w:t>
            </w:r>
          </w:p>
        </w:tc>
        <w:tc>
          <w:tcPr>
            <w:tcW w:type="dxa" w:w="1872"/>
            <w:tcMar>
              <w:top w:type="dxa" w:w="90"/>
              <w:left w:type="dxa" w:w="140"/>
              <w:bottom w:type="dxa" w:w="90"/>
              <w:right w:type="dxa" w:w="140"/>
            </w:tcMar>
            <w:vAlign w:val="center"/>
          </w:tcPr>
          <w:p>
            <w:r>
              <w:rPr>
                <w:b w:val="false"/>
                <w:bCs w:val="false"/>
                <w:color w:val="131B20"/>
                <w:sz w:val="20"/>
                <w:szCs w:val="20"/>
              </w:rPr>
              <w:t xml:space="preserve">GPT-4</w:t>
            </w:r>
          </w:p>
        </w:tc>
      </w:tr>
    </w:tbl>
    <w:p>
      <w:pPr>
        <w:spacing w:after="280"/>
      </w:pPr>
      <w:r>
        <w:rPr>
          <w:rFonts w:ascii="Courier New" w:cs="Courier New" w:eastAsia="Courier New" w:hAnsi="Courier New"/>
          <w:color w:val="5B6B72"/>
          <w:sz w:val="16"/>
          <w:szCs w:val="16"/>
        </w:rPr>
        <w:t xml:space="preserve">Baseline token usage by feature, five-business-day sample.</w:t>
      </w:r>
    </w:p>
    <w:p>
      <w:pPr>
        <w:spacing w:after="60"/>
      </w:pPr>
      <w:r>
        <w:drawing>
          <wp:inline distT="0" distB="0" distL="0" distR="0">
            <wp:extent cx="90487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504825"/>
                    </a:xfrm>
                    <a:prstGeom prst="rect">
                      <a:avLst/>
                    </a:prstGeom>
                  </pic:spPr>
                </pic:pic>
              </a:graphicData>
            </a:graphic>
          </wp:inline>
        </w:drawing>
      </w:r>
    </w:p>
    <w:p>
      <w:pPr>
        <w:spacing w:after="280"/>
      </w:pPr>
      <w:r>
        <w:rPr>
          <w:rFonts w:ascii="Courier New" w:cs="Courier New" w:eastAsia="Courier New" w:hAnsi="Courier New"/>
          <w:color w:val="5B6B72"/>
          <w:sz w:val="16"/>
          <w:szCs w:val="16"/>
        </w:rPr>
        <w:t xml:space="preserve">Fig. 01 — Token usage breakdown by feature, from our audit dashboard.</w:t>
      </w:r>
    </w:p>
    <w:p>
      <w:pPr>
        <w:spacing w:after="180"/>
      </w:pPr>
      <w:r>
        <w:rPr>
          <w:color w:val="131B20"/>
          <w:sz w:val="22"/>
          <w:szCs w:val="22"/>
        </w:rPr>
        <w:t xml:space="preserve">Three things jumped out immediately:</w:t>
      </w:r>
    </w:p>
    <w:p>
      <w:pPr>
        <w:pStyle w:val="ListParagraph"/>
        <w:numPr>
          <w:ilvl w:val="0"/>
          <w:numId w:val="3"/>
        </w:numPr>
        <w:spacing w:after="120"/>
      </w:pPr>
      <w:r>
        <w:rPr>
          <w:b/>
          <w:bCs/>
          <w:color w:val="131B20"/>
          <w:sz w:val="22"/>
          <w:szCs w:val="22"/>
        </w:rPr>
        <w:t xml:space="preserve">Ticket triage</w:t>
      </w:r>
      <w:r>
        <w:rPr>
          <w:color w:val="131B20"/>
          <w:sz w:val="22"/>
          <w:szCs w:val="22"/>
        </w:rPr>
        <w:t xml:space="preserve">, a classification task with a fixed, small output space (route to one of ~12 categories), was burning full GPT-4 pricing on a task that didn't need frontier reasoning at all.</w:t>
      </w:r>
    </w:p>
    <w:p>
      <w:pPr>
        <w:pStyle w:val="ListParagraph"/>
        <w:numPr>
          <w:ilvl w:val="0"/>
          <w:numId w:val="3"/>
        </w:numPr>
        <w:spacing w:after="120"/>
      </w:pPr>
      <w:r>
        <w:rPr>
          <w:b/>
          <w:bCs/>
          <w:color w:val="131B20"/>
          <w:sz w:val="22"/>
          <w:szCs w:val="22"/>
        </w:rPr>
        <w:t xml:space="preserve">Auto-drafted replies</w:t>
      </w:r>
      <w:r>
        <w:rPr>
          <w:color w:val="131B20"/>
          <w:sz w:val="22"/>
          <w:szCs w:val="22"/>
        </w:rPr>
        <w:t xml:space="preserve"> carried enormous input context: full ticket history, a full customer account object (mostly irrelevant), and a static 1,100-token system prompt repeated on every call, verbatim, with zero caching.</w:t>
      </w:r>
    </w:p>
    <w:p>
      <w:pPr>
        <w:pStyle w:val="ListParagraph"/>
        <w:numPr>
          <w:ilvl w:val="0"/>
          <w:numId w:val="3"/>
        </w:numPr>
        <w:spacing w:after="120"/>
      </w:pPr>
      <w:r>
        <w:rPr>
          <w:b/>
          <w:bCs/>
          <w:color w:val="131B20"/>
          <w:sz w:val="22"/>
          <w:szCs w:val="22"/>
        </w:rPr>
        <w:t xml:space="preserve">Summarization</w:t>
      </w:r>
      <w:r>
        <w:rPr>
          <w:color w:val="131B20"/>
          <w:sz w:val="22"/>
          <w:szCs w:val="22"/>
        </w:rPr>
        <w:t xml:space="preserve"> re-fetched and re-summarized the same ticket threads multiple times a day as new replies came in, discarding all prior summarization work each time instead of updating it incrementally.</w:t>
      </w:r>
    </w:p>
    <w:p>
      <w:pPr>
        <w:spacing w:after="80"/>
      </w:pPr>
    </w:p>
    <w:p>
      <w:pPr>
        <w:spacing w:after="180"/>
      </w:pPr>
      <w:r>
        <w:rPr>
          <w:color w:val="131B20"/>
          <w:sz w:val="22"/>
          <w:szCs w:val="22"/>
        </w:rPr>
        <w:t xml:space="preserve">No caching layer of any kind. No model routing (one model handled every request regardless of complexity). And nobody had audited the system prompt in about eight months, during which it had grown from roughly 300 tokens to 1,100 tokens via incremental "just add this instruction" edits.</w:t>
      </w:r>
    </w:p>
    <w:p>
      <w:pPr>
        <w:pStyle w:val="Heading1"/>
        <w:pBdr>
          <w:top w:val="single" w:color="D9DFDD" w:sz="4"/>
        </w:pBdr>
        <w:spacing w:after="200" w:before="480"/>
      </w:pPr>
      <w:r>
        <w:rPr>
          <w:rFonts w:ascii="Georgia" w:cs="Georgia" w:eastAsia="Georgia" w:hAnsi="Georgia"/>
          <w:b/>
          <w:bCs/>
          <w:color w:val="131B20"/>
          <w:sz w:val="32"/>
          <w:szCs w:val="32"/>
        </w:rPr>
        <w:t xml:space="preserve">What We Tried</w:t>
      </w:r>
    </w:p>
    <w:p>
      <w:pPr>
        <w:spacing w:after="60"/>
      </w:pPr>
      <w:r>
        <w:drawing>
          <wp:inline distT="0" distB="0" distL="0" distR="0">
            <wp:extent cx="90487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04875" cy="504825"/>
                    </a:xfrm>
                    <a:prstGeom prst="rect">
                      <a:avLst/>
                    </a:prstGeom>
                  </pic:spPr>
                </pic:pic>
              </a:graphicData>
            </a:graphic>
          </wp:inline>
        </w:drawing>
      </w:r>
    </w:p>
    <w:p>
      <w:pPr>
        <w:spacing w:after="280"/>
      </w:pPr>
      <w:r>
        <w:rPr>
          <w:rFonts w:ascii="Courier New" w:cs="Courier New" w:eastAsia="Courier New" w:hAnsi="Courier New"/>
          <w:color w:val="5B6B72"/>
          <w:sz w:val="16"/>
          <w:szCs w:val="16"/>
        </w:rPr>
        <w:t xml:space="preserve">Fig. 02 — Pipeline before (single model, every request) vs. after (router, model tiers, shared cache layer).</w:t>
      </w:r>
    </w:p>
    <w:p>
      <w:pPr>
        <w:pStyle w:val="Heading2"/>
        <w:spacing w:after="120" w:before="280"/>
      </w:pPr>
      <w:r>
        <w:rPr>
          <w:b/>
          <w:bCs/>
          <w:color w:val="131B20"/>
          <w:sz w:val="24"/>
          <w:szCs w:val="24"/>
        </w:rPr>
        <w:t xml:space="preserve">01 · Model routing and right-sizing</w:t>
      </w:r>
    </w:p>
    <w:p>
      <w:pPr>
        <w:spacing w:after="180"/>
      </w:pPr>
      <w:r>
        <w:rPr>
          <w:color w:val="131B20"/>
          <w:sz w:val="22"/>
          <w:szCs w:val="22"/>
        </w:rPr>
        <w:t xml:space="preserve">The single highest-leverage change. We classified each call site by actual reasoning requirement and routed accordingly:</w:t>
      </w:r>
    </w:p>
    <w:p>
      <w:pPr>
        <w:spacing w:after="80"/>
      </w:pPr>
      <w:r>
        <w:rPr>
          <w:rFonts w:ascii="Courier New" w:cs="Courier New" w:eastAsia="Courier New" w:hAnsi="Courier New"/>
          <w:color w:val="5B6B72"/>
          <w:spacing w:val="10"/>
          <w:sz w:val="16"/>
          <w:szCs w:val="16"/>
        </w:rPr>
        <w:t xml:space="preserve">MODEL_ROUTER.PY</w:t>
      </w:r>
    </w:p>
    <w:tbl>
      <w:tblPr>
        <w:tblW w:type="dxa" w:w="9360"/>
        <w:tblBorders>
          <w:top w:val="single" w:color="0F1A1C" w:sz="2"/>
          <w:left w:val="single" w:color="0F1A1C" w:sz="2"/>
          <w:bottom w:val="single" w:color="0F1A1C" w:sz="2"/>
          <w:right w:val="single" w:color="0F1A1C" w:sz="2"/>
          <w:insideH w:val="none" w:color="0F1A1C" w:sz="0"/>
          <w:insideV w:val="none" w:color="0F1A1C" w:sz="0"/>
        </w:tblBorders>
      </w:tblPr>
      <w:tblGrid>
        <w:gridCol w:w="9360"/>
      </w:tblGrid>
      <w:tr>
        <w:tc>
          <w:tcPr>
            <w:tcW w:type="dxa" w:w="9360"/>
            <w:shd w:fill="0F1A1C" w:val="clear"/>
            <w:tcMar>
              <w:top w:type="dxa" w:w="160"/>
              <w:left w:type="dxa" w:w="200"/>
              <w:bottom w:type="dxa" w:w="160"/>
              <w:right w:type="dxa" w:w="200"/>
            </w:tcMar>
          </w:tcPr>
          <w:p>
            <w:pPr>
              <w:spacing w:after="0"/>
            </w:pPr>
            <w:r>
              <w:rPr>
                <w:rFonts w:ascii="Courier New" w:cs="Courier New" w:eastAsia="Courier New" w:hAnsi="Courier New"/>
                <w:color w:val="D9E7E2"/>
                <w:sz w:val="18"/>
                <w:szCs w:val="18"/>
              </w:rPr>
              <w:t xml:space="preserve">def select_model(task_type: str, complexity_signal: float) -&gt; str:</w:t>
            </w:r>
          </w:p>
          <w:p>
            <w:pPr>
              <w:spacing w:after="0"/>
            </w:pPr>
            <w:r>
              <w:rPr>
                <w:rFonts w:ascii="Courier New" w:cs="Courier New" w:eastAsia="Courier New" w:hAnsi="Courier New"/>
                <w:color w:val="D9E7E2"/>
                <w:sz w:val="18"/>
                <w:szCs w:val="18"/>
              </w:rPr>
              <w:t xml:space="preserve">    if task_type == "triage_classification":</w:t>
            </w:r>
          </w:p>
          <w:p>
            <w:pPr>
              <w:spacing w:after="0"/>
            </w:pPr>
            <w:r>
              <w:rPr>
                <w:rFonts w:ascii="Courier New" w:cs="Courier New" w:eastAsia="Courier New" w:hAnsi="Courier New"/>
                <w:color w:val="D9E7E2"/>
                <w:sz w:val="18"/>
                <w:szCs w:val="18"/>
              </w:rPr>
              <w:t xml:space="preserve">        return "gpt-4o-mini"</w:t>
            </w:r>
          </w:p>
          <w:p>
            <w:pPr>
              <w:spacing w:after="0"/>
            </w:pPr>
            <w:r>
              <w:rPr>
                <w:rFonts w:ascii="Courier New" w:cs="Courier New" w:eastAsia="Courier New" w:hAnsi="Courier New"/>
                <w:color w:val="D9E7E2"/>
                <w:sz w:val="18"/>
                <w:szCs w:val="18"/>
              </w:rPr>
              <w:t xml:space="preserve">    if task_type == "summarization" and complexity_signal &lt; 0.4:</w:t>
            </w:r>
          </w:p>
          <w:p>
            <w:pPr>
              <w:spacing w:after="0"/>
            </w:pPr>
            <w:r>
              <w:rPr>
                <w:rFonts w:ascii="Courier New" w:cs="Courier New" w:eastAsia="Courier New" w:hAnsi="Courier New"/>
                <w:color w:val="D9E7E2"/>
                <w:sz w:val="18"/>
                <w:szCs w:val="18"/>
              </w:rPr>
              <w:t xml:space="preserve">        return "gpt-4o-mini"</w:t>
            </w:r>
          </w:p>
          <w:p>
            <w:pPr>
              <w:spacing w:after="0"/>
            </w:pPr>
            <w:r>
              <w:rPr>
                <w:rFonts w:ascii="Courier New" w:cs="Courier New" w:eastAsia="Courier New" w:hAnsi="Courier New"/>
                <w:color w:val="D9E7E2"/>
                <w:sz w:val="18"/>
                <w:szCs w:val="18"/>
              </w:rPr>
              <w:t xml:space="preserve">    if task_type == "reply_draft" and complexity_signal &gt;= 0.7:</w:t>
            </w:r>
          </w:p>
          <w:p>
            <w:pPr>
              <w:spacing w:after="0"/>
            </w:pPr>
            <w:r>
              <w:rPr>
                <w:rFonts w:ascii="Courier New" w:cs="Courier New" w:eastAsia="Courier New" w:hAnsi="Courier New"/>
                <w:color w:val="D9E7E2"/>
                <w:sz w:val="18"/>
                <w:szCs w:val="18"/>
              </w:rPr>
              <w:t xml:space="preserve">        return "gpt-4o"          # escalate on multi-issue or legal/refund language</w:t>
            </w:r>
          </w:p>
          <w:p>
            <w:pPr>
              <w:spacing w:after="0"/>
            </w:pPr>
            <w:r>
              <w:rPr>
                <w:rFonts w:ascii="Courier New" w:cs="Courier New" w:eastAsia="Courier New" w:hAnsi="Courier New"/>
                <w:color w:val="D9E7E2"/>
                <w:sz w:val="18"/>
                <w:szCs w:val="18"/>
              </w:rPr>
              <w:t xml:space="preserve">    return "gpt-4o-mini"          # everything else</w:t>
            </w:r>
          </w:p>
        </w:tc>
      </w:tr>
    </w:tbl>
    <w:p>
      <w:pPr>
        <w:spacing w:after="160"/>
      </w:pPr>
    </w:p>
    <w:p>
      <w:pPr>
        <w:spacing w:after="180"/>
      </w:pPr>
      <w:r>
        <w:rPr>
          <w:color w:val="131B20"/>
          <w:sz w:val="22"/>
          <w:szCs w:val="22"/>
        </w:rPr>
        <w:t xml:space="preserve">complexity_signal was a cheap heuristic (ticket length, keywords like "refund," "legal," "cancel," prior escalation count), not another LLM call. We deliberately avoided using an LLM to decide which LLM to use. Classic trap that just adds a second bill on top of the first.</w:t>
      </w:r>
    </w:p>
    <w:tbl>
      <w:tblPr>
        <w:tblW w:type="dxa" w:w="9360"/>
        <w:tblBorders>
          <w:top w:val="single" w:color="D9DFDD" w:sz="4"/>
          <w:left w:val="single" w:color="D9DFDD" w:sz="4"/>
          <w:bottom w:val="single" w:color="D9DFDD" w:sz="4"/>
          <w:right w:val="single" w:color="D9DFDD" w:sz="4"/>
          <w:insideH w:val="single" w:color="D9DFDD" w:sz="4"/>
          <w:insideV w:val="single" w:color="D9DFDD" w:sz="4"/>
        </w:tblBorders>
      </w:tblPr>
      <w:tblGrid>
        <w:gridCol w:w="2200"/>
        <w:gridCol w:w="7160"/>
      </w:tblGrid>
      <w:tr>
        <w:tc>
          <w:tcPr>
            <w:tcW w:type="dxa" w:w="2200"/>
            <w:shd w:fill="F4F6F5" w:val="clear"/>
            <w:tcMar>
              <w:top w:type="dxa" w:w="100"/>
              <w:left w:type="dxa" w:w="160"/>
              <w:bottom w:type="dxa" w:w="100"/>
              <w:right w:type="dxa" w:w="120"/>
            </w:tcMar>
            <w:vAlign w:val="center"/>
          </w:tcPr>
          <w:p>
            <w:r>
              <w:rPr>
                <w:rFonts w:ascii="Courier New" w:cs="Courier New" w:eastAsia="Courier New" w:hAnsi="Courier New"/>
                <w:b/>
                <w:bCs/>
                <w:color w:val="5B6B72"/>
                <w:sz w:val="15"/>
                <w:szCs w:val="15"/>
              </w:rPr>
              <w:t xml:space="preserve">BEFORE</w:t>
            </w:r>
          </w:p>
        </w:tc>
        <w:tc>
          <w:tcPr>
            <w:tcW w:type="dxa" w:w="7160"/>
            <w:tcMar>
              <w:top w:type="dxa" w:w="100"/>
              <w:left w:type="dxa" w:w="160"/>
              <w:bottom w:type="dxa" w:w="100"/>
              <w:right w:type="dxa" w:w="120"/>
            </w:tcMar>
            <w:vAlign w:val="center"/>
          </w:tcPr>
          <w:p>
            <w:r>
              <w:rPr>
                <w:b w:val="false"/>
                <w:bCs w:val="false"/>
                <w:color w:val="131B20"/>
                <w:sz w:val="21"/>
                <w:szCs w:val="21"/>
              </w:rPr>
              <w:t xml:space="preserve">100% of calls on GPT-4 ($0.030 / 1K input tokens)</w:t>
            </w:r>
          </w:p>
        </w:tc>
      </w:tr>
      <w:tr>
        <w:tc>
          <w:tcPr>
            <w:tcW w:type="dxa" w:w="2200"/>
            <w:shd w:fill="F4F6F5" w:val="clear"/>
            <w:tcMar>
              <w:top w:type="dxa" w:w="100"/>
              <w:left w:type="dxa" w:w="160"/>
              <w:bottom w:type="dxa" w:w="100"/>
              <w:right w:type="dxa" w:w="120"/>
            </w:tcMar>
            <w:vAlign w:val="center"/>
          </w:tcPr>
          <w:p>
            <w:r>
              <w:rPr>
                <w:rFonts w:ascii="Courier New" w:cs="Courier New" w:eastAsia="Courier New" w:hAnsi="Courier New"/>
                <w:b/>
                <w:bCs/>
                <w:color w:val="5B6B72"/>
                <w:sz w:val="15"/>
                <w:szCs w:val="15"/>
              </w:rPr>
              <w:t xml:space="preserve">AFTER</w:t>
            </w:r>
          </w:p>
        </w:tc>
        <w:tc>
          <w:tcPr>
            <w:tcW w:type="dxa" w:w="7160"/>
            <w:tcMar>
              <w:top w:type="dxa" w:w="100"/>
              <w:left w:type="dxa" w:w="160"/>
              <w:bottom w:type="dxa" w:w="100"/>
              <w:right w:type="dxa" w:w="120"/>
            </w:tcMar>
            <w:vAlign w:val="center"/>
          </w:tcPr>
          <w:p>
            <w:r>
              <w:rPr>
                <w:b w:val="false"/>
                <w:bCs w:val="false"/>
                <w:color w:val="131B20"/>
                <w:sz w:val="21"/>
                <w:szCs w:val="21"/>
              </w:rPr>
              <w:t xml:space="preserve">82% routed to GPT-4o-mini ($0.00015 / 1K), 18% escalated to GPT-4o</w:t>
            </w:r>
          </w:p>
        </w:tc>
      </w:tr>
      <w:tr>
        <w:tc>
          <w:tcPr>
            <w:tcW w:type="dxa" w:w="2200"/>
            <w:shd w:fill="F4F6F5" w:val="clear"/>
            <w:tcMar>
              <w:top w:type="dxa" w:w="100"/>
              <w:left w:type="dxa" w:w="160"/>
              <w:bottom w:type="dxa" w:w="100"/>
              <w:right w:type="dxa" w:w="120"/>
            </w:tcMar>
            <w:vAlign w:val="center"/>
          </w:tcPr>
          <w:p>
            <w:r>
              <w:rPr>
                <w:rFonts w:ascii="Courier New" w:cs="Courier New" w:eastAsia="Courier New" w:hAnsi="Courier New"/>
                <w:b/>
                <w:bCs/>
                <w:color w:val="5B6B72"/>
                <w:sz w:val="15"/>
                <w:szCs w:val="15"/>
              </w:rPr>
              <w:t xml:space="preserve">NET IMPACT</w:t>
            </w:r>
          </w:p>
        </w:tc>
        <w:tc>
          <w:tcPr>
            <w:tcW w:type="dxa" w:w="7160"/>
            <w:tcMar>
              <w:top w:type="dxa" w:w="100"/>
              <w:left w:type="dxa" w:w="160"/>
              <w:bottom w:type="dxa" w:w="100"/>
              <w:right w:type="dxa" w:w="120"/>
            </w:tcMar>
            <w:vAlign w:val="center"/>
          </w:tcPr>
          <w:p>
            <w:r>
              <w:rPr>
                <w:b/>
                <w:bCs/>
                <w:color w:val="0D7D63"/>
                <w:sz w:val="21"/>
                <w:szCs w:val="21"/>
              </w:rPr>
              <w:t xml:space="preserve">~38% of total spend cut</w:t>
            </w:r>
          </w:p>
        </w:tc>
      </w:tr>
    </w:tbl>
    <w:p>
      <w:pPr>
        <w:spacing w:after="240"/>
      </w:pPr>
    </w:p>
    <w:p>
      <w:pPr>
        <w:pStyle w:val="Heading2"/>
        <w:spacing w:after="120" w:before="280"/>
      </w:pPr>
      <w:r>
        <w:rPr>
          <w:b/>
          <w:bCs/>
          <w:color w:val="131B20"/>
          <w:sz w:val="24"/>
          <w:szCs w:val="24"/>
        </w:rPr>
        <w:t xml:space="preserve">02 · Prompt compression and context trimming</w:t>
      </w:r>
    </w:p>
    <w:p>
      <w:pPr>
        <w:spacing w:after="180"/>
      </w:pPr>
      <w:r>
        <w:rPr>
          <w:color w:val="131B20"/>
          <w:sz w:val="22"/>
          <w:szCs w:val="22"/>
        </w:rPr>
        <w:t xml:space="preserve">The 1,100-token system prompt restated formatting instructions three different ways, included stale examples, and carried dead instructions for a deprecated feature. We rewrote it against current behavior, cutting it to 340 tokens, and moved the customer account object from "dump the whole JSON" to a curated 6-field subset instead of the full 40+ field object.</w:t>
      </w:r>
    </w:p>
    <w:tbl>
      <w:tblPr>
        <w:tblW w:type="dxa" w:w="9360"/>
        <w:tblBorders>
          <w:top w:val="single" w:color="D9DFDD" w:sz="4"/>
          <w:left w:val="single" w:color="D9DFDD" w:sz="4"/>
          <w:bottom w:val="single" w:color="D9DFDD" w:sz="4"/>
          <w:right w:val="single" w:color="D9DFDD" w:sz="4"/>
          <w:insideH w:val="single" w:color="D9DFDD" w:sz="4"/>
          <w:insideV w:val="single" w:color="D9DFDD" w:sz="4"/>
        </w:tblBorders>
      </w:tblPr>
      <w:tblGrid>
        <w:gridCol w:w="2200"/>
        <w:gridCol w:w="7160"/>
      </w:tblGrid>
      <w:tr>
        <w:tc>
          <w:tcPr>
            <w:tcW w:type="dxa" w:w="2200"/>
            <w:shd w:fill="F4F6F5" w:val="clear"/>
            <w:tcMar>
              <w:top w:type="dxa" w:w="100"/>
              <w:left w:type="dxa" w:w="160"/>
              <w:bottom w:type="dxa" w:w="100"/>
              <w:right w:type="dxa" w:w="120"/>
            </w:tcMar>
            <w:vAlign w:val="center"/>
          </w:tcPr>
          <w:p>
            <w:r>
              <w:rPr>
                <w:rFonts w:ascii="Courier New" w:cs="Courier New" w:eastAsia="Courier New" w:hAnsi="Courier New"/>
                <w:b/>
                <w:bCs/>
                <w:color w:val="5B6B72"/>
                <w:sz w:val="15"/>
                <w:szCs w:val="15"/>
              </w:rPr>
              <w:t xml:space="preserve">BEFORE</w:t>
            </w:r>
          </w:p>
        </w:tc>
        <w:tc>
          <w:tcPr>
            <w:tcW w:type="dxa" w:w="7160"/>
            <w:tcMar>
              <w:top w:type="dxa" w:w="100"/>
              <w:left w:type="dxa" w:w="160"/>
              <w:bottom w:type="dxa" w:w="100"/>
              <w:right w:type="dxa" w:w="120"/>
            </w:tcMar>
            <w:vAlign w:val="center"/>
          </w:tcPr>
          <w:p>
            <w:r>
              <w:rPr>
                <w:b w:val="false"/>
                <w:bCs w:val="false"/>
                <w:color w:val="131B20"/>
                <w:sz w:val="21"/>
                <w:szCs w:val="21"/>
              </w:rPr>
              <w:t xml:space="preserve">avg. 3,900 input tokens per reply-draft call</w:t>
            </w:r>
          </w:p>
        </w:tc>
      </w:tr>
      <w:tr>
        <w:tc>
          <w:tcPr>
            <w:tcW w:type="dxa" w:w="2200"/>
            <w:shd w:fill="F4F6F5" w:val="clear"/>
            <w:tcMar>
              <w:top w:type="dxa" w:w="100"/>
              <w:left w:type="dxa" w:w="160"/>
              <w:bottom w:type="dxa" w:w="100"/>
              <w:right w:type="dxa" w:w="120"/>
            </w:tcMar>
            <w:vAlign w:val="center"/>
          </w:tcPr>
          <w:p>
            <w:r>
              <w:rPr>
                <w:rFonts w:ascii="Courier New" w:cs="Courier New" w:eastAsia="Courier New" w:hAnsi="Courier New"/>
                <w:b/>
                <w:bCs/>
                <w:color w:val="5B6B72"/>
                <w:sz w:val="15"/>
                <w:szCs w:val="15"/>
              </w:rPr>
              <w:t xml:space="preserve">AFTER</w:t>
            </w:r>
          </w:p>
        </w:tc>
        <w:tc>
          <w:tcPr>
            <w:tcW w:type="dxa" w:w="7160"/>
            <w:tcMar>
              <w:top w:type="dxa" w:w="100"/>
              <w:left w:type="dxa" w:w="160"/>
              <w:bottom w:type="dxa" w:w="100"/>
              <w:right w:type="dxa" w:w="120"/>
            </w:tcMar>
            <w:vAlign w:val="center"/>
          </w:tcPr>
          <w:p>
            <w:r>
              <w:rPr>
                <w:b w:val="false"/>
                <w:bCs w:val="false"/>
                <w:color w:val="131B20"/>
                <w:sz w:val="21"/>
                <w:szCs w:val="21"/>
              </w:rPr>
              <w:t xml:space="preserve">avg. 1,650 input tokens per reply-draft call</w:t>
            </w:r>
          </w:p>
        </w:tc>
      </w:tr>
      <w:tr>
        <w:tc>
          <w:tcPr>
            <w:tcW w:type="dxa" w:w="2200"/>
            <w:shd w:fill="F4F6F5" w:val="clear"/>
            <w:tcMar>
              <w:top w:type="dxa" w:w="100"/>
              <w:left w:type="dxa" w:w="160"/>
              <w:bottom w:type="dxa" w:w="100"/>
              <w:right w:type="dxa" w:w="120"/>
            </w:tcMar>
            <w:vAlign w:val="center"/>
          </w:tcPr>
          <w:p>
            <w:r>
              <w:rPr>
                <w:rFonts w:ascii="Courier New" w:cs="Courier New" w:eastAsia="Courier New" w:hAnsi="Courier New"/>
                <w:b/>
                <w:bCs/>
                <w:color w:val="5B6B72"/>
                <w:sz w:val="15"/>
                <w:szCs w:val="15"/>
              </w:rPr>
              <w:t xml:space="preserve">NET IMPACT</w:t>
            </w:r>
          </w:p>
        </w:tc>
        <w:tc>
          <w:tcPr>
            <w:tcW w:type="dxa" w:w="7160"/>
            <w:tcMar>
              <w:top w:type="dxa" w:w="100"/>
              <w:left w:type="dxa" w:w="160"/>
              <w:bottom w:type="dxa" w:w="100"/>
              <w:right w:type="dxa" w:w="120"/>
            </w:tcMar>
            <w:vAlign w:val="center"/>
          </w:tcPr>
          <w:p>
            <w:r>
              <w:rPr>
                <w:b/>
                <w:bCs/>
                <w:color w:val="0D7D63"/>
                <w:sz w:val="21"/>
                <w:szCs w:val="21"/>
              </w:rPr>
              <w:t xml:space="preserve">~58% reduction in input tokens, largest-volume feature</w:t>
            </w:r>
          </w:p>
        </w:tc>
      </w:tr>
    </w:tbl>
    <w:p>
      <w:pPr>
        <w:spacing w:after="240"/>
      </w:pPr>
    </w:p>
    <w:p>
      <w:pPr>
        <w:pStyle w:val="Heading2"/>
        <w:spacing w:after="120" w:before="280"/>
      </w:pPr>
      <w:r>
        <w:rPr>
          <w:b/>
          <w:bCs/>
          <w:color w:val="131B20"/>
          <w:sz w:val="24"/>
          <w:szCs w:val="24"/>
        </w:rPr>
        <w:t xml:space="preserve">03 · Prompt caching</w:t>
      </w:r>
    </w:p>
    <w:p>
      <w:pPr>
        <w:spacing w:after="180"/>
      </w:pPr>
      <w:r>
        <w:rPr>
          <w:color w:val="131B20"/>
          <w:sz w:val="22"/>
          <w:szCs w:val="22"/>
        </w:rPr>
        <w:t xml:space="preserve">For reply-draft and summarization, the system prompt and a large chunk of static instructions were identical across every call. We split each prompt into a static cached prefix and a dynamic per-ticket suffix, billing the static portion at cached-token rates.</w:t>
      </w:r>
    </w:p>
    <w:p>
      <w:pPr>
        <w:spacing w:after="80"/>
      </w:pPr>
      <w:r>
        <w:rPr>
          <w:rFonts w:ascii="Courier New" w:cs="Courier New" w:eastAsia="Courier New" w:hAnsi="Courier New"/>
          <w:color w:val="5B6B72"/>
          <w:spacing w:val="10"/>
          <w:sz w:val="16"/>
          <w:szCs w:val="16"/>
        </w:rPr>
        <w:t xml:space="preserve">PROMPT STRUCTURE</w:t>
      </w:r>
    </w:p>
    <w:tbl>
      <w:tblPr>
        <w:tblW w:type="dxa" w:w="9360"/>
        <w:tblBorders>
          <w:top w:val="single" w:color="0F1A1C" w:sz="2"/>
          <w:left w:val="single" w:color="0F1A1C" w:sz="2"/>
          <w:bottom w:val="single" w:color="0F1A1C" w:sz="2"/>
          <w:right w:val="single" w:color="0F1A1C" w:sz="2"/>
          <w:insideH w:val="none" w:color="0F1A1C" w:sz="0"/>
          <w:insideV w:val="none" w:color="0F1A1C" w:sz="0"/>
        </w:tblBorders>
      </w:tblPr>
      <w:tblGrid>
        <w:gridCol w:w="9360"/>
      </w:tblGrid>
      <w:tr>
        <w:tc>
          <w:tcPr>
            <w:tcW w:type="dxa" w:w="9360"/>
            <w:shd w:fill="0F1A1C" w:val="clear"/>
            <w:tcMar>
              <w:top w:type="dxa" w:w="160"/>
              <w:left w:type="dxa" w:w="200"/>
              <w:bottom w:type="dxa" w:w="160"/>
              <w:right w:type="dxa" w:w="200"/>
            </w:tcMar>
          </w:tcPr>
          <w:p>
            <w:pPr>
              <w:spacing w:after="0"/>
            </w:pPr>
            <w:r>
              <w:rPr>
                <w:rFonts w:ascii="Courier New" w:cs="Courier New" w:eastAsia="Courier New" w:hAnsi="Courier New"/>
                <w:color w:val="D9E7E2"/>
                <w:sz w:val="18"/>
                <w:szCs w:val="18"/>
              </w:rPr>
              <w:t xml:space="preserve">[CACHED PREFIX: system role, formatting rules, output schema: ~1,200 tokens]</w:t>
            </w:r>
          </w:p>
          <w:p>
            <w:pPr>
              <w:spacing w:after="0"/>
            </w:pPr>
            <w:r>
              <w:rPr>
                <w:rFonts w:ascii="Courier New" w:cs="Courier New" w:eastAsia="Courier New" w:hAnsi="Courier New"/>
                <w:color w:val="D9E7E2"/>
                <w:sz w:val="18"/>
                <w:szCs w:val="18"/>
              </w:rPr>
              <w:t xml:space="preserve">---</w:t>
            </w:r>
          </w:p>
          <w:p>
            <w:pPr>
              <w:spacing w:after="0"/>
            </w:pPr>
            <w:r>
              <w:rPr>
                <w:rFonts w:ascii="Courier New" w:cs="Courier New" w:eastAsia="Courier New" w:hAnsi="Courier New"/>
                <w:color w:val="D9E7E2"/>
                <w:sz w:val="18"/>
                <w:szCs w:val="18"/>
              </w:rPr>
              <w:t xml:space="preserve">[DYNAMIC SUFFIX: this ticket's content: ~450 tokens average]</w:t>
            </w:r>
          </w:p>
        </w:tc>
      </w:tr>
    </w:tbl>
    <w:p>
      <w:pPr>
        <w:spacing w:after="160"/>
      </w:pPr>
    </w:p>
    <w:tbl>
      <w:tblPr>
        <w:tblW w:type="dxa" w:w="9360"/>
        <w:tblBorders>
          <w:top w:val="single" w:color="D9DFDD" w:sz="4"/>
          <w:left w:val="single" w:color="D9DFDD" w:sz="4"/>
          <w:bottom w:val="single" w:color="D9DFDD" w:sz="4"/>
          <w:right w:val="single" w:color="D9DFDD" w:sz="4"/>
          <w:insideH w:val="single" w:color="D9DFDD" w:sz="4"/>
          <w:insideV w:val="single" w:color="D9DFDD" w:sz="4"/>
        </w:tblBorders>
      </w:tblPr>
      <w:tblGrid>
        <w:gridCol w:w="2200"/>
        <w:gridCol w:w="7160"/>
      </w:tblGrid>
      <w:tr>
        <w:tc>
          <w:tcPr>
            <w:tcW w:type="dxa" w:w="2200"/>
            <w:shd w:fill="F4F6F5" w:val="clear"/>
            <w:tcMar>
              <w:top w:type="dxa" w:w="100"/>
              <w:left w:type="dxa" w:w="160"/>
              <w:bottom w:type="dxa" w:w="100"/>
              <w:right w:type="dxa" w:w="120"/>
            </w:tcMar>
            <w:vAlign w:val="center"/>
          </w:tcPr>
          <w:p>
            <w:r>
              <w:rPr>
                <w:rFonts w:ascii="Courier New" w:cs="Courier New" w:eastAsia="Courier New" w:hAnsi="Courier New"/>
                <w:b/>
                <w:bCs/>
                <w:color w:val="5B6B72"/>
                <w:sz w:val="15"/>
                <w:szCs w:val="15"/>
              </w:rPr>
              <w:t xml:space="preserve">BEFORE</w:t>
            </w:r>
          </w:p>
        </w:tc>
        <w:tc>
          <w:tcPr>
            <w:tcW w:type="dxa" w:w="7160"/>
            <w:tcMar>
              <w:top w:type="dxa" w:w="100"/>
              <w:left w:type="dxa" w:w="160"/>
              <w:bottom w:type="dxa" w:w="100"/>
              <w:right w:type="dxa" w:w="120"/>
            </w:tcMar>
            <w:vAlign w:val="center"/>
          </w:tcPr>
          <w:p>
            <w:r>
              <w:rPr>
                <w:b w:val="false"/>
                <w:bCs w:val="false"/>
                <w:color w:val="131B20"/>
                <w:sz w:val="21"/>
                <w:szCs w:val="21"/>
              </w:rPr>
              <w:t xml:space="preserve">full input-token price on every call, cached or not</w:t>
            </w:r>
          </w:p>
        </w:tc>
      </w:tr>
      <w:tr>
        <w:tc>
          <w:tcPr>
            <w:tcW w:type="dxa" w:w="2200"/>
            <w:shd w:fill="F4F6F5" w:val="clear"/>
            <w:tcMar>
              <w:top w:type="dxa" w:w="100"/>
              <w:left w:type="dxa" w:w="160"/>
              <w:bottom w:type="dxa" w:w="100"/>
              <w:right w:type="dxa" w:w="120"/>
            </w:tcMar>
            <w:vAlign w:val="center"/>
          </w:tcPr>
          <w:p>
            <w:r>
              <w:rPr>
                <w:rFonts w:ascii="Courier New" w:cs="Courier New" w:eastAsia="Courier New" w:hAnsi="Courier New"/>
                <w:b/>
                <w:bCs/>
                <w:color w:val="5B6B72"/>
                <w:sz w:val="15"/>
                <w:szCs w:val="15"/>
              </w:rPr>
              <w:t xml:space="preserve">AFTER</w:t>
            </w:r>
          </w:p>
        </w:tc>
        <w:tc>
          <w:tcPr>
            <w:tcW w:type="dxa" w:w="7160"/>
            <w:tcMar>
              <w:top w:type="dxa" w:w="100"/>
              <w:left w:type="dxa" w:w="160"/>
              <w:bottom w:type="dxa" w:w="100"/>
              <w:right w:type="dxa" w:w="120"/>
            </w:tcMar>
            <w:vAlign w:val="center"/>
          </w:tcPr>
          <w:p>
            <w:r>
              <w:rPr>
                <w:b w:val="false"/>
                <w:bCs w:val="false"/>
                <w:color w:val="131B20"/>
                <w:sz w:val="21"/>
                <w:szCs w:val="21"/>
              </w:rPr>
              <w:t xml:space="preserve">~73% cache hit rate on the static prefix, ~90% discount on cached tokens</w:t>
            </w:r>
          </w:p>
        </w:tc>
      </w:tr>
      <w:tr>
        <w:tc>
          <w:tcPr>
            <w:tcW w:type="dxa" w:w="2200"/>
            <w:shd w:fill="F4F6F5" w:val="clear"/>
            <w:tcMar>
              <w:top w:type="dxa" w:w="100"/>
              <w:left w:type="dxa" w:w="160"/>
              <w:bottom w:type="dxa" w:w="100"/>
              <w:right w:type="dxa" w:w="120"/>
            </w:tcMar>
            <w:vAlign w:val="center"/>
          </w:tcPr>
          <w:p>
            <w:r>
              <w:rPr>
                <w:rFonts w:ascii="Courier New" w:cs="Courier New" w:eastAsia="Courier New" w:hAnsi="Courier New"/>
                <w:b/>
                <w:bCs/>
                <w:color w:val="5B6B72"/>
                <w:sz w:val="15"/>
                <w:szCs w:val="15"/>
              </w:rPr>
              <w:t xml:space="preserve">NET IMPACT</w:t>
            </w:r>
          </w:p>
        </w:tc>
        <w:tc>
          <w:tcPr>
            <w:tcW w:type="dxa" w:w="7160"/>
            <w:tcMar>
              <w:top w:type="dxa" w:w="100"/>
              <w:left w:type="dxa" w:w="160"/>
              <w:bottom w:type="dxa" w:w="100"/>
              <w:right w:type="dxa" w:w="120"/>
            </w:tcMar>
            <w:vAlign w:val="center"/>
          </w:tcPr>
          <w:p>
            <w:r>
              <w:rPr>
                <w:b/>
                <w:bCs/>
                <w:color w:val="0D7D63"/>
                <w:sz w:val="21"/>
                <w:szCs w:val="21"/>
              </w:rPr>
              <w:t xml:space="preserve">~14% additional reduction on top of routing and compression</w:t>
            </w:r>
          </w:p>
        </w:tc>
      </w:tr>
    </w:tbl>
    <w:p>
      <w:pPr>
        <w:spacing w:after="240"/>
      </w:pPr>
    </w:p>
    <w:p>
      <w:pPr>
        <w:pStyle w:val="Heading2"/>
        <w:spacing w:after="120" w:before="280"/>
      </w:pPr>
      <w:r>
        <w:rPr>
          <w:b/>
          <w:bCs/>
          <w:color w:val="131B20"/>
          <w:sz w:val="24"/>
          <w:szCs w:val="24"/>
        </w:rPr>
        <w:t xml:space="preserve">04 · Semantic caching for repeated queries</w:t>
      </w:r>
    </w:p>
    <w:p>
      <w:pPr>
        <w:spacing w:after="180"/>
      </w:pPr>
      <w:r>
        <w:rPr>
          <w:color w:val="131B20"/>
          <w:sz w:val="22"/>
          <w:szCs w:val="22"/>
        </w:rPr>
        <w:t xml:space="preserve">Ticket triage had significant duplication. Near-identical tickets ("how do I reset my password," "I can't log in," "forgot password help") were classified from scratch every time. We added a semantic cache in front of triage: embed the incoming ticket, check cosine similarity against a rolling window of recently classified tickets, and reuse the classification above a 0.93 similarity threshold.</w:t>
      </w:r>
    </w:p>
    <w:tbl>
      <w:tblPr>
        <w:tblW w:type="dxa" w:w="9360"/>
        <w:tblBorders>
          <w:top w:val="single" w:color="D9DFDD" w:sz="4"/>
          <w:left w:val="single" w:color="D9DFDD" w:sz="4"/>
          <w:bottom w:val="single" w:color="D9DFDD" w:sz="4"/>
          <w:right w:val="single" w:color="D9DFDD" w:sz="4"/>
          <w:insideH w:val="single" w:color="D9DFDD" w:sz="4"/>
          <w:insideV w:val="single" w:color="D9DFDD" w:sz="4"/>
        </w:tblBorders>
      </w:tblPr>
      <w:tblGrid>
        <w:gridCol w:w="2200"/>
        <w:gridCol w:w="7160"/>
      </w:tblGrid>
      <w:tr>
        <w:tc>
          <w:tcPr>
            <w:tcW w:type="dxa" w:w="2200"/>
            <w:shd w:fill="F4F6F5" w:val="clear"/>
            <w:tcMar>
              <w:top w:type="dxa" w:w="100"/>
              <w:left w:type="dxa" w:w="160"/>
              <w:bottom w:type="dxa" w:w="100"/>
              <w:right w:type="dxa" w:w="120"/>
            </w:tcMar>
            <w:vAlign w:val="center"/>
          </w:tcPr>
          <w:p>
            <w:r>
              <w:rPr>
                <w:rFonts w:ascii="Courier New" w:cs="Courier New" w:eastAsia="Courier New" w:hAnsi="Courier New"/>
                <w:b/>
                <w:bCs/>
                <w:color w:val="5B6B72"/>
                <w:sz w:val="15"/>
                <w:szCs w:val="15"/>
              </w:rPr>
              <w:t xml:space="preserve">BEFORE</w:t>
            </w:r>
          </w:p>
        </w:tc>
        <w:tc>
          <w:tcPr>
            <w:tcW w:type="dxa" w:w="7160"/>
            <w:tcMar>
              <w:top w:type="dxa" w:w="100"/>
              <w:left w:type="dxa" w:w="160"/>
              <w:bottom w:type="dxa" w:w="100"/>
              <w:right w:type="dxa" w:w="120"/>
            </w:tcMar>
            <w:vAlign w:val="center"/>
          </w:tcPr>
          <w:p>
            <w:r>
              <w:rPr>
                <w:b w:val="false"/>
                <w:bCs w:val="false"/>
                <w:color w:val="131B20"/>
                <w:sz w:val="21"/>
                <w:szCs w:val="21"/>
              </w:rPr>
              <w:t xml:space="preserve">100% of triage requests hit the model</w:t>
            </w:r>
          </w:p>
        </w:tc>
      </w:tr>
      <w:tr>
        <w:tc>
          <w:tcPr>
            <w:tcW w:type="dxa" w:w="2200"/>
            <w:shd w:fill="F4F6F5" w:val="clear"/>
            <w:tcMar>
              <w:top w:type="dxa" w:w="100"/>
              <w:left w:type="dxa" w:w="160"/>
              <w:bottom w:type="dxa" w:w="100"/>
              <w:right w:type="dxa" w:w="120"/>
            </w:tcMar>
            <w:vAlign w:val="center"/>
          </w:tcPr>
          <w:p>
            <w:r>
              <w:rPr>
                <w:rFonts w:ascii="Courier New" w:cs="Courier New" w:eastAsia="Courier New" w:hAnsi="Courier New"/>
                <w:b/>
                <w:bCs/>
                <w:color w:val="5B6B72"/>
                <w:sz w:val="15"/>
                <w:szCs w:val="15"/>
              </w:rPr>
              <w:t xml:space="preserve">AFTER</w:t>
            </w:r>
          </w:p>
        </w:tc>
        <w:tc>
          <w:tcPr>
            <w:tcW w:type="dxa" w:w="7160"/>
            <w:tcMar>
              <w:top w:type="dxa" w:w="100"/>
              <w:left w:type="dxa" w:w="160"/>
              <w:bottom w:type="dxa" w:w="100"/>
              <w:right w:type="dxa" w:w="120"/>
            </w:tcMar>
            <w:vAlign w:val="center"/>
          </w:tcPr>
          <w:p>
            <w:r>
              <w:rPr>
                <w:b w:val="false"/>
                <w:bCs w:val="false"/>
                <w:color w:val="131B20"/>
                <w:sz w:val="21"/>
                <w:szCs w:val="21"/>
              </w:rPr>
              <w:t xml:space="preserve">31% cache hit rate, served with no model call</w:t>
            </w:r>
          </w:p>
        </w:tc>
      </w:tr>
      <w:tr>
        <w:tc>
          <w:tcPr>
            <w:tcW w:type="dxa" w:w="2200"/>
            <w:shd w:fill="F4F6F5" w:val="clear"/>
            <w:tcMar>
              <w:top w:type="dxa" w:w="100"/>
              <w:left w:type="dxa" w:w="160"/>
              <w:bottom w:type="dxa" w:w="100"/>
              <w:right w:type="dxa" w:w="120"/>
            </w:tcMar>
            <w:vAlign w:val="center"/>
          </w:tcPr>
          <w:p>
            <w:r>
              <w:rPr>
                <w:rFonts w:ascii="Courier New" w:cs="Courier New" w:eastAsia="Courier New" w:hAnsi="Courier New"/>
                <w:b/>
                <w:bCs/>
                <w:color w:val="5B6B72"/>
                <w:sz w:val="15"/>
                <w:szCs w:val="15"/>
              </w:rPr>
              <w:t xml:space="preserve">NET IMPACT</w:t>
            </w:r>
          </w:p>
        </w:tc>
        <w:tc>
          <w:tcPr>
            <w:tcW w:type="dxa" w:w="7160"/>
            <w:tcMar>
              <w:top w:type="dxa" w:w="100"/>
              <w:left w:type="dxa" w:w="160"/>
              <w:bottom w:type="dxa" w:w="100"/>
              <w:right w:type="dxa" w:w="120"/>
            </w:tcMar>
            <w:vAlign w:val="center"/>
          </w:tcPr>
          <w:p>
            <w:r>
              <w:rPr>
                <w:b/>
                <w:bCs/>
                <w:color w:val="0D7D63"/>
                <w:sz w:val="21"/>
                <w:szCs w:val="21"/>
              </w:rPr>
              <w:t xml:space="preserve">~31% reduction in triage-specific spend</w:t>
            </w:r>
          </w:p>
        </w:tc>
      </w:tr>
    </w:tbl>
    <w:p>
      <w:pPr>
        <w:spacing w:after="160"/>
      </w:pPr>
    </w:p>
    <w:p>
      <w:pPr>
        <w:spacing w:after="180"/>
      </w:pPr>
      <w:r>
        <w:rPr>
          <w:color w:val="131B20"/>
          <w:sz w:val="22"/>
          <w:szCs w:val="22"/>
        </w:rPr>
        <w:t xml:space="preserve">We set the similarity threshold deliberately high. A wrong cache hit on classification is cheap to make but expensive to undo downstream, so at the margin we preferred extra model calls over risky cache hits.</w:t>
      </w:r>
    </w:p>
    <w:p>
      <w:pPr>
        <w:pStyle w:val="Heading2"/>
        <w:spacing w:after="120" w:before="280"/>
      </w:pPr>
      <w:r>
        <w:rPr>
          <w:b/>
          <w:bCs/>
          <w:color w:val="131B20"/>
          <w:sz w:val="24"/>
          <w:szCs w:val="24"/>
        </w:rPr>
        <w:t xml:space="preserve">05 · Reducing redundant context in the summarization pipeline</w:t>
      </w:r>
    </w:p>
    <w:p>
      <w:pPr>
        <w:spacing w:after="180"/>
      </w:pPr>
      <w:r>
        <w:rPr>
          <w:color w:val="131B20"/>
          <w:sz w:val="22"/>
          <w:szCs w:val="22"/>
        </w:rPr>
        <w:t xml:space="preserve">The daily digest re-summarized entire ticket threads from scratch on every run, even for threads with only one new reply since the last digest. We switched to incremental summarization: store the prior summary, and on each run feed the model only the prior summary plus new messages since then, asking it to produce an updated summary rather than starting over.</w:t>
      </w:r>
    </w:p>
    <w:tbl>
      <w:tblPr>
        <w:tblW w:type="dxa" w:w="9360"/>
        <w:tblBorders>
          <w:top w:val="single" w:color="D9DFDD" w:sz="4"/>
          <w:left w:val="single" w:color="D9DFDD" w:sz="4"/>
          <w:bottom w:val="single" w:color="D9DFDD" w:sz="4"/>
          <w:right w:val="single" w:color="D9DFDD" w:sz="4"/>
          <w:insideH w:val="single" w:color="D9DFDD" w:sz="4"/>
          <w:insideV w:val="single" w:color="D9DFDD" w:sz="4"/>
        </w:tblBorders>
      </w:tblPr>
      <w:tblGrid>
        <w:gridCol w:w="2200"/>
        <w:gridCol w:w="7160"/>
      </w:tblGrid>
      <w:tr>
        <w:tc>
          <w:tcPr>
            <w:tcW w:type="dxa" w:w="2200"/>
            <w:shd w:fill="F4F6F5" w:val="clear"/>
            <w:tcMar>
              <w:top w:type="dxa" w:w="100"/>
              <w:left w:type="dxa" w:w="160"/>
              <w:bottom w:type="dxa" w:w="100"/>
              <w:right w:type="dxa" w:w="120"/>
            </w:tcMar>
            <w:vAlign w:val="center"/>
          </w:tcPr>
          <w:p>
            <w:r>
              <w:rPr>
                <w:rFonts w:ascii="Courier New" w:cs="Courier New" w:eastAsia="Courier New" w:hAnsi="Courier New"/>
                <w:b/>
                <w:bCs/>
                <w:color w:val="5B6B72"/>
                <w:sz w:val="15"/>
                <w:szCs w:val="15"/>
              </w:rPr>
              <w:t xml:space="preserve">BEFORE</w:t>
            </w:r>
          </w:p>
        </w:tc>
        <w:tc>
          <w:tcPr>
            <w:tcW w:type="dxa" w:w="7160"/>
            <w:tcMar>
              <w:top w:type="dxa" w:w="100"/>
              <w:left w:type="dxa" w:w="160"/>
              <w:bottom w:type="dxa" w:w="100"/>
              <w:right w:type="dxa" w:w="120"/>
            </w:tcMar>
            <w:vAlign w:val="center"/>
          </w:tcPr>
          <w:p>
            <w:r>
              <w:rPr>
                <w:b w:val="false"/>
                <w:bCs w:val="false"/>
                <w:color w:val="131B20"/>
                <w:sz w:val="21"/>
                <w:szCs w:val="21"/>
              </w:rPr>
              <w:t xml:space="preserve">avg. 8,100 input tokens per summarization call (full thread, every time)</w:t>
            </w:r>
          </w:p>
        </w:tc>
      </w:tr>
      <w:tr>
        <w:tc>
          <w:tcPr>
            <w:tcW w:type="dxa" w:w="2200"/>
            <w:shd w:fill="F4F6F5" w:val="clear"/>
            <w:tcMar>
              <w:top w:type="dxa" w:w="100"/>
              <w:left w:type="dxa" w:w="160"/>
              <w:bottom w:type="dxa" w:w="100"/>
              <w:right w:type="dxa" w:w="120"/>
            </w:tcMar>
            <w:vAlign w:val="center"/>
          </w:tcPr>
          <w:p>
            <w:r>
              <w:rPr>
                <w:rFonts w:ascii="Courier New" w:cs="Courier New" w:eastAsia="Courier New" w:hAnsi="Courier New"/>
                <w:b/>
                <w:bCs/>
                <w:color w:val="5B6B72"/>
                <w:sz w:val="15"/>
                <w:szCs w:val="15"/>
              </w:rPr>
              <w:t xml:space="preserve">AFTER</w:t>
            </w:r>
          </w:p>
        </w:tc>
        <w:tc>
          <w:tcPr>
            <w:tcW w:type="dxa" w:w="7160"/>
            <w:tcMar>
              <w:top w:type="dxa" w:w="100"/>
              <w:left w:type="dxa" w:w="160"/>
              <w:bottom w:type="dxa" w:w="100"/>
              <w:right w:type="dxa" w:w="120"/>
            </w:tcMar>
            <w:vAlign w:val="center"/>
          </w:tcPr>
          <w:p>
            <w:r>
              <w:rPr>
                <w:b w:val="false"/>
                <w:bCs w:val="false"/>
                <w:color w:val="131B20"/>
                <w:sz w:val="21"/>
                <w:szCs w:val="21"/>
              </w:rPr>
              <w:t xml:space="preserve">avg. 2,300 input tokens per call (prior summary + delta)</w:t>
            </w:r>
          </w:p>
        </w:tc>
      </w:tr>
      <w:tr>
        <w:tc>
          <w:tcPr>
            <w:tcW w:type="dxa" w:w="2200"/>
            <w:shd w:fill="F4F6F5" w:val="clear"/>
            <w:tcMar>
              <w:top w:type="dxa" w:w="100"/>
              <w:left w:type="dxa" w:w="160"/>
              <w:bottom w:type="dxa" w:w="100"/>
              <w:right w:type="dxa" w:w="120"/>
            </w:tcMar>
            <w:vAlign w:val="center"/>
          </w:tcPr>
          <w:p>
            <w:r>
              <w:rPr>
                <w:rFonts w:ascii="Courier New" w:cs="Courier New" w:eastAsia="Courier New" w:hAnsi="Courier New"/>
                <w:b/>
                <w:bCs/>
                <w:color w:val="5B6B72"/>
                <w:sz w:val="15"/>
                <w:szCs w:val="15"/>
              </w:rPr>
              <w:t xml:space="preserve">NET IMPACT</w:t>
            </w:r>
          </w:p>
        </w:tc>
        <w:tc>
          <w:tcPr>
            <w:tcW w:type="dxa" w:w="7160"/>
            <w:tcMar>
              <w:top w:type="dxa" w:w="100"/>
              <w:left w:type="dxa" w:w="160"/>
              <w:bottom w:type="dxa" w:w="100"/>
              <w:right w:type="dxa" w:w="120"/>
            </w:tcMar>
            <w:vAlign w:val="center"/>
          </w:tcPr>
          <w:p>
            <w:r>
              <w:rPr>
                <w:b/>
                <w:bCs/>
                <w:color w:val="0D7D63"/>
                <w:sz w:val="21"/>
                <w:szCs w:val="21"/>
              </w:rPr>
              <w:t xml:space="preserve">~72% reduction in summarization input tokens</w:t>
            </w:r>
          </w:p>
        </w:tc>
      </w:tr>
    </w:tbl>
    <w:p>
      <w:pPr>
        <w:spacing w:after="240"/>
      </w:pPr>
    </w:p>
    <w:p>
      <w:pPr>
        <w:pStyle w:val="Heading2"/>
        <w:spacing w:after="120" w:before="280"/>
      </w:pPr>
      <w:r>
        <w:rPr>
          <w:b/>
          <w:bCs/>
          <w:color w:val="131B20"/>
          <w:sz w:val="24"/>
          <w:szCs w:val="24"/>
        </w:rPr>
        <w:t xml:space="preserve">06 · Output token limits and structured output</w:t>
      </w:r>
    </w:p>
    <w:p>
      <w:pPr>
        <w:spacing w:after="180"/>
      </w:pPr>
      <w:r>
        <w:rPr>
          <w:color w:val="131B20"/>
          <w:sz w:val="22"/>
          <w:szCs w:val="22"/>
        </w:rPr>
        <w:t xml:space="preserve">Reply drafts had no max_tokens cap and no output schema. The model would occasionally produce long, hedging, multi-paragraph drafts when two sentences would do. We added a hard ceiling per reply category and moved to structured JSON output (subject line, body, suggested tone flag) instead of free-form text.</w:t>
      </w:r>
    </w:p>
    <w:tbl>
      <w:tblPr>
        <w:tblW w:type="dxa" w:w="9360"/>
        <w:tblBorders>
          <w:top w:val="single" w:color="D9DFDD" w:sz="4"/>
          <w:left w:val="single" w:color="D9DFDD" w:sz="4"/>
          <w:bottom w:val="single" w:color="D9DFDD" w:sz="4"/>
          <w:right w:val="single" w:color="D9DFDD" w:sz="4"/>
          <w:insideH w:val="single" w:color="D9DFDD" w:sz="4"/>
          <w:insideV w:val="single" w:color="D9DFDD" w:sz="4"/>
        </w:tblBorders>
      </w:tblPr>
      <w:tblGrid>
        <w:gridCol w:w="2200"/>
        <w:gridCol w:w="7160"/>
      </w:tblGrid>
      <w:tr>
        <w:tc>
          <w:tcPr>
            <w:tcW w:type="dxa" w:w="2200"/>
            <w:shd w:fill="F4F6F5" w:val="clear"/>
            <w:tcMar>
              <w:top w:type="dxa" w:w="100"/>
              <w:left w:type="dxa" w:w="160"/>
              <w:bottom w:type="dxa" w:w="100"/>
              <w:right w:type="dxa" w:w="120"/>
            </w:tcMar>
            <w:vAlign w:val="center"/>
          </w:tcPr>
          <w:p>
            <w:r>
              <w:rPr>
                <w:rFonts w:ascii="Courier New" w:cs="Courier New" w:eastAsia="Courier New" w:hAnsi="Courier New"/>
                <w:b/>
                <w:bCs/>
                <w:color w:val="5B6B72"/>
                <w:sz w:val="15"/>
                <w:szCs w:val="15"/>
              </w:rPr>
              <w:t xml:space="preserve">BEFORE</w:t>
            </w:r>
          </w:p>
        </w:tc>
        <w:tc>
          <w:tcPr>
            <w:tcW w:type="dxa" w:w="7160"/>
            <w:tcMar>
              <w:top w:type="dxa" w:w="100"/>
              <w:left w:type="dxa" w:w="160"/>
              <w:bottom w:type="dxa" w:w="100"/>
              <w:right w:type="dxa" w:w="120"/>
            </w:tcMar>
            <w:vAlign w:val="center"/>
          </w:tcPr>
          <w:p>
            <w:r>
              <w:rPr>
                <w:b w:val="false"/>
                <w:bCs w:val="false"/>
                <w:color w:val="131B20"/>
                <w:sz w:val="21"/>
                <w:szCs w:val="21"/>
              </w:rPr>
              <w:t xml:space="preserve">avg. 340 output tokens per reply draft</w:t>
            </w:r>
          </w:p>
        </w:tc>
      </w:tr>
      <w:tr>
        <w:tc>
          <w:tcPr>
            <w:tcW w:type="dxa" w:w="2200"/>
            <w:shd w:fill="F4F6F5" w:val="clear"/>
            <w:tcMar>
              <w:top w:type="dxa" w:w="100"/>
              <w:left w:type="dxa" w:w="160"/>
              <w:bottom w:type="dxa" w:w="100"/>
              <w:right w:type="dxa" w:w="120"/>
            </w:tcMar>
            <w:vAlign w:val="center"/>
          </w:tcPr>
          <w:p>
            <w:r>
              <w:rPr>
                <w:rFonts w:ascii="Courier New" w:cs="Courier New" w:eastAsia="Courier New" w:hAnsi="Courier New"/>
                <w:b/>
                <w:bCs/>
                <w:color w:val="5B6B72"/>
                <w:sz w:val="15"/>
                <w:szCs w:val="15"/>
              </w:rPr>
              <w:t xml:space="preserve">AFTER</w:t>
            </w:r>
          </w:p>
        </w:tc>
        <w:tc>
          <w:tcPr>
            <w:tcW w:type="dxa" w:w="7160"/>
            <w:tcMar>
              <w:top w:type="dxa" w:w="100"/>
              <w:left w:type="dxa" w:w="160"/>
              <w:bottom w:type="dxa" w:w="100"/>
              <w:right w:type="dxa" w:w="120"/>
            </w:tcMar>
            <w:vAlign w:val="center"/>
          </w:tcPr>
          <w:p>
            <w:r>
              <w:rPr>
                <w:b w:val="false"/>
                <w:bCs w:val="false"/>
                <w:color w:val="131B20"/>
                <w:sz w:val="21"/>
                <w:szCs w:val="21"/>
              </w:rPr>
              <w:t xml:space="preserve">avg. 210 output tokens per reply draft</w:t>
            </w:r>
          </w:p>
        </w:tc>
      </w:tr>
      <w:tr>
        <w:tc>
          <w:tcPr>
            <w:tcW w:type="dxa" w:w="2200"/>
            <w:shd w:fill="F4F6F5" w:val="clear"/>
            <w:tcMar>
              <w:top w:type="dxa" w:w="100"/>
              <w:left w:type="dxa" w:w="160"/>
              <w:bottom w:type="dxa" w:w="100"/>
              <w:right w:type="dxa" w:w="120"/>
            </w:tcMar>
            <w:vAlign w:val="center"/>
          </w:tcPr>
          <w:p>
            <w:r>
              <w:rPr>
                <w:rFonts w:ascii="Courier New" w:cs="Courier New" w:eastAsia="Courier New" w:hAnsi="Courier New"/>
                <w:b/>
                <w:bCs/>
                <w:color w:val="5B6B72"/>
                <w:sz w:val="15"/>
                <w:szCs w:val="15"/>
              </w:rPr>
              <w:t xml:space="preserve">NET IMPACT</w:t>
            </w:r>
          </w:p>
        </w:tc>
        <w:tc>
          <w:tcPr>
            <w:tcW w:type="dxa" w:w="7160"/>
            <w:tcMar>
              <w:top w:type="dxa" w:w="100"/>
              <w:left w:type="dxa" w:w="160"/>
              <w:bottom w:type="dxa" w:w="100"/>
              <w:right w:type="dxa" w:w="120"/>
            </w:tcMar>
            <w:vAlign w:val="center"/>
          </w:tcPr>
          <w:p>
            <w:r>
              <w:rPr>
                <w:b/>
                <w:bCs/>
                <w:color w:val="0D7D63"/>
                <w:sz w:val="21"/>
                <w:szCs w:val="21"/>
              </w:rPr>
              <w:t xml:space="preserve">~38% reduction. Output tokens bill higher per-token than input.</w:t>
            </w:r>
          </w:p>
        </w:tc>
      </w:tr>
    </w:tbl>
    <w:p>
      <w:pPr>
        <w:spacing w:after="240"/>
      </w:pPr>
    </w:p>
    <w:p>
      <w:pPr>
        <w:pBdr>
          <w:left w:val="single" w:color="A3572E" w:sz="16"/>
        </w:pBdr>
        <w:spacing w:after="40"/>
        <w:ind w:left="260"/>
      </w:pPr>
      <w:r>
        <w:rPr>
          <w:rFonts w:ascii="Georgia" w:cs="Georgia" w:eastAsia="Georgia" w:hAnsi="Georgia"/>
          <w:i/>
          <w:iCs/>
          <w:color w:val="131B20"/>
          <w:sz w:val="26"/>
          <w:szCs w:val="26"/>
        </w:rPr>
        <w:t xml:space="preserve">"We bet on prompt compression being the big win. Routing ended up delivering nearly triple what compression did."</w:t>
      </w:r>
    </w:p>
    <w:p>
      <w:pPr>
        <w:spacing w:after="260"/>
        <w:ind w:left="260"/>
      </w:pPr>
      <w:r>
        <w:rPr>
          <w:rFonts w:ascii="Courier New" w:cs="Courier New" w:eastAsia="Courier New" w:hAnsi="Courier New"/>
          <w:color w:val="5B6B72"/>
          <w:sz w:val="16"/>
          <w:szCs w:val="16"/>
        </w:rPr>
        <w:t xml:space="preserve">— one of the engineers on the engagement, after the fact</w:t>
      </w:r>
    </w:p>
    <w:p>
      <w:pPr>
        <w:pStyle w:val="Heading2"/>
        <w:spacing w:after="120" w:before="280"/>
      </w:pPr>
      <w:r>
        <w:rPr>
          <w:b/>
          <w:bCs/>
          <w:color w:val="131B20"/>
          <w:sz w:val="24"/>
          <w:szCs w:val="24"/>
        </w:rPr>
        <w:t xml:space="preserve">What didn't work</w:t>
      </w:r>
    </w:p>
    <w:p>
      <w:pPr>
        <w:spacing w:after="180"/>
      </w:pPr>
      <w:r>
        <w:rPr>
          <w:color w:val="131B20"/>
          <w:sz w:val="22"/>
          <w:szCs w:val="22"/>
        </w:rPr>
        <w:t xml:space="preserve">Two things we tried and abandoned, for the record:</w:t>
      </w:r>
    </w:p>
    <w:p>
      <w:pPr>
        <w:pStyle w:val="ListParagraph"/>
        <w:numPr>
          <w:ilvl w:val="0"/>
          <w:numId w:val="3"/>
        </w:numPr>
        <w:spacing w:after="120"/>
      </w:pPr>
      <w:r>
        <w:rPr>
          <w:b/>
          <w:bCs/>
          <w:color w:val="131B20"/>
          <w:sz w:val="22"/>
          <w:szCs w:val="22"/>
        </w:rPr>
        <w:t xml:space="preserve">Fine-tuning a smaller model on historical triage data. </w:t>
      </w:r>
      <w:r>
        <w:rPr>
          <w:color w:val="131B20"/>
          <w:sz w:val="22"/>
          <w:szCs w:val="22"/>
        </w:rPr>
        <w:t xml:space="preserve">It worked (91% accuracy vs. GPT-4o-mini's 89%) but the training and retraining pipeline overhead wasn't worth a 2-point accuracy gain when better prompting closed most of the gap for free.</w:t>
      </w:r>
    </w:p>
    <w:p>
      <w:pPr>
        <w:pStyle w:val="ListParagraph"/>
        <w:numPr>
          <w:ilvl w:val="0"/>
          <w:numId w:val="3"/>
        </w:numPr>
        <w:spacing w:after="120"/>
      </w:pPr>
      <w:r>
        <w:rPr>
          <w:b/>
          <w:bCs/>
          <w:color w:val="131B20"/>
          <w:sz w:val="22"/>
          <w:szCs w:val="22"/>
        </w:rPr>
        <w:t xml:space="preserve">Aggressive batching of reply drafts. </w:t>
      </w:r>
      <w:r>
        <w:rPr>
          <w:color w:val="131B20"/>
          <w:sz w:val="22"/>
          <w:szCs w:val="22"/>
        </w:rPr>
        <w:t xml:space="preserve">Batching multiple tickets into one API call cut a few more percent but introduced latency (waiting to fill a batch) that pushed turnaround outside the client's SLA. We reverted it. Prompt caching got most of the same saving without the latency tradeoff.</w:t>
      </w:r>
    </w:p>
    <w:p>
      <w:pPr>
        <w:pStyle w:val="Heading1"/>
        <w:pBdr>
          <w:top w:val="single" w:color="D9DFDD" w:sz="4"/>
        </w:pBdr>
        <w:spacing w:after="200" w:before="480"/>
      </w:pPr>
      <w:r>
        <w:rPr>
          <w:rFonts w:ascii="Georgia" w:cs="Georgia" w:eastAsia="Georgia" w:hAnsi="Georgia"/>
          <w:b/>
          <w:bCs/>
          <w:color w:val="131B20"/>
          <w:sz w:val="32"/>
          <w:szCs w:val="32"/>
        </w:rPr>
        <w:t xml:space="preserve">How We Measured Quality Held Steady</w:t>
      </w:r>
    </w:p>
    <w:p>
      <w:pPr>
        <w:spacing w:after="180"/>
      </w:pPr>
      <w:r>
        <w:rPr>
          <w:color w:val="131B20"/>
          <w:sz w:val="22"/>
          <w:szCs w:val="22"/>
        </w:rPr>
        <w:t xml:space="preserve">The "without reducing quality" claim only matters if the eval behind it holds up, so here's the methodology:</w:t>
      </w:r>
    </w:p>
    <w:p>
      <w:pPr>
        <w:pStyle w:val="ListParagraph"/>
        <w:numPr>
          <w:ilvl w:val="0"/>
          <w:numId w:val="3"/>
        </w:numPr>
        <w:spacing w:after="120"/>
      </w:pPr>
      <w:r>
        <w:rPr>
          <w:b/>
          <w:bCs/>
          <w:color w:val="131B20"/>
          <w:sz w:val="22"/>
          <w:szCs w:val="22"/>
        </w:rPr>
        <w:t xml:space="preserve">Golden dataset: </w:t>
      </w:r>
      <w:r>
        <w:rPr>
          <w:color w:val="131B20"/>
          <w:sz w:val="22"/>
          <w:szCs w:val="22"/>
        </w:rPr>
        <w:t xml:space="preserve">1,200 historical tickets across all three features, hand-labeled for correct triage category and independently scored for reply-draft quality by two human reviewers (accuracy, tone, completeness) before any changes. This was our fixed regression baseline.</w:t>
      </w:r>
    </w:p>
    <w:p>
      <w:pPr>
        <w:pStyle w:val="ListParagraph"/>
        <w:numPr>
          <w:ilvl w:val="0"/>
          <w:numId w:val="3"/>
        </w:numPr>
        <w:spacing w:after="120"/>
      </w:pPr>
      <w:r>
        <w:rPr>
          <w:b/>
          <w:bCs/>
          <w:color w:val="131B20"/>
          <w:sz w:val="22"/>
          <w:szCs w:val="22"/>
        </w:rPr>
        <w:t xml:space="preserve">Task success rate: </w:t>
      </w:r>
      <w:r>
        <w:rPr>
          <w:color w:val="131B20"/>
          <w:sz w:val="22"/>
          <w:szCs w:val="22"/>
        </w:rPr>
        <w:t xml:space="preserve">classification accuracy against golden labels for triage; for reply drafts, a rating of 4/5 or higher with no factual errors.</w:t>
      </w:r>
    </w:p>
    <w:p>
      <w:pPr>
        <w:pStyle w:val="ListParagraph"/>
        <w:numPr>
          <w:ilvl w:val="0"/>
          <w:numId w:val="3"/>
        </w:numPr>
        <w:spacing w:after="120"/>
      </w:pPr>
      <w:r>
        <w:rPr>
          <w:b/>
          <w:bCs/>
          <w:color w:val="131B20"/>
          <w:sz w:val="22"/>
          <w:szCs w:val="22"/>
        </w:rPr>
        <w:t xml:space="preserve">Human review sample: </w:t>
      </w:r>
      <w:r>
        <w:rPr>
          <w:color w:val="131B20"/>
          <w:sz w:val="22"/>
          <w:szCs w:val="22"/>
        </w:rPr>
        <w:t xml:space="preserve">after each optimization phase, we re-ran the same 1,200 tickets and had the same reviewers blind-score a random 15% sample.</w:t>
      </w:r>
    </w:p>
    <w:p>
      <w:pPr>
        <w:pStyle w:val="ListParagraph"/>
        <w:numPr>
          <w:ilvl w:val="0"/>
          <w:numId w:val="3"/>
        </w:numPr>
        <w:spacing w:after="120"/>
      </w:pPr>
      <w:r>
        <w:rPr>
          <w:b/>
          <w:bCs/>
          <w:color w:val="131B20"/>
          <w:sz w:val="22"/>
          <w:szCs w:val="22"/>
        </w:rPr>
        <w:t xml:space="preserve">Production shadow testing: </w:t>
      </w:r>
      <w:r>
        <w:rPr>
          <w:color w:val="131B20"/>
          <w:sz w:val="22"/>
          <w:szCs w:val="22"/>
        </w:rPr>
        <w:t xml:space="preserve">two weeks running the new pipeline alongside the old one on live traffic (same tickets, both pipelines, only the old pipeline's output shown to agents). This caught a real regression before it reached anyone.</w:t>
      </w:r>
    </w:p>
    <w:p>
      <w:pPr>
        <w:pStyle w:val="ListParagraph"/>
        <w:numPr>
          <w:ilvl w:val="0"/>
          <w:numId w:val="3"/>
        </w:numPr>
        <w:spacing w:after="120"/>
      </w:pPr>
      <w:r>
        <w:rPr>
          <w:b/>
          <w:bCs/>
          <w:color w:val="131B20"/>
          <w:sz w:val="22"/>
          <w:szCs w:val="22"/>
        </w:rPr>
        <w:t xml:space="preserve">User-facing metric: </w:t>
      </w:r>
      <w:r>
        <w:rPr>
          <w:color w:val="131B20"/>
          <w:sz w:val="22"/>
          <w:szCs w:val="22"/>
        </w:rPr>
        <w:t xml:space="preserve">agent edit rate, meaning how often an agent significantly edited an auto-drafted reply before sending, tracked as a real-world quality proxy.</w:t>
      </w:r>
    </w:p>
    <w:p>
      <w:pPr>
        <w:spacing w:after="80"/>
      </w:pPr>
    </w:p>
    <w:p>
      <w:pPr>
        <w:spacing w:after="180"/>
      </w:pPr>
      <w:r>
        <w:rPr>
          <w:color w:val="131B20"/>
          <w:sz w:val="22"/>
          <w:szCs w:val="22"/>
        </w:rPr>
        <w:t xml:space="preserve">The shadow test did catch one regression: the first compressed system prompt dropped an instruction about refund-request tone, which reviewers caught as a 0.3-point dip in the tone sub-score. We restored it (about 40 tokens) and the score recovered fully. Shadow testing before full cutover matters more than a single before/after eval, precisely for reasons like this.</w:t>
      </w:r>
    </w:p>
    <w:p>
      <w:pPr>
        <w:pStyle w:val="Heading1"/>
        <w:pBdr>
          <w:top w:val="single" w:color="D9DFDD" w:sz="4"/>
        </w:pBdr>
        <w:spacing w:after="200" w:before="480"/>
      </w:pPr>
      <w:r>
        <w:rPr>
          <w:rFonts w:ascii="Georgia" w:cs="Georgia" w:eastAsia="Georgia" w:hAnsi="Georgia"/>
          <w:b/>
          <w:bCs/>
          <w:color w:val="131B20"/>
          <w:sz w:val="32"/>
          <w:szCs w:val="32"/>
        </w:rPr>
        <w:t xml:space="preserve">Results</w:t>
      </w:r>
    </w:p>
    <w:tbl>
      <w:tblPr>
        <w:tblW w:type="dxa" w:w="9360"/>
        <w:tblBorders>
          <w:top w:val="single" w:color="D9DFDD" w:sz="4"/>
          <w:left w:val="single" w:color="D9DFDD" w:sz="4"/>
          <w:bottom w:val="single" w:color="D9DFDD" w:sz="4"/>
          <w:right w:val="single" w:color="D9DFDD" w:sz="4"/>
          <w:insideH w:val="single" w:color="D9DFDD" w:sz="4"/>
          <w:insideV w:val="single" w:color="D9DFDD" w:sz="4"/>
        </w:tblBorders>
      </w:tblPr>
      <w:tblGrid>
        <w:gridCol w:w="2340"/>
        <w:gridCol w:w="2340"/>
        <w:gridCol w:w="2340"/>
        <w:gridCol w:w="2340"/>
      </w:tblGrid>
      <w:tr>
        <w:trPr>
          <w:tblHeader/>
        </w:trPr>
        <w:tc>
          <w:tcPr>
            <w:tcW w:type="dxa" w:w="2340"/>
            <w:shd w:fill="F4F6F5" w:val="clear"/>
            <w:tcMar>
              <w:top w:type="dxa" w:w="100"/>
              <w:left w:type="dxa" w:w="140"/>
              <w:bottom w:type="dxa" w:w="100"/>
              <w:right w:type="dxa" w:w="140"/>
            </w:tcMar>
          </w:tcPr>
          <w:p>
            <w:r>
              <w:rPr>
                <w:rFonts w:ascii="Courier New" w:cs="Courier New" w:eastAsia="Courier New" w:hAnsi="Courier New"/>
                <w:b/>
                <w:bCs/>
                <w:color w:val="5B6B72"/>
                <w:sz w:val="14"/>
                <w:szCs w:val="14"/>
              </w:rPr>
              <w:t xml:space="preserve">METRIC</w:t>
            </w:r>
          </w:p>
        </w:tc>
        <w:tc>
          <w:tcPr>
            <w:tcW w:type="dxa" w:w="2340"/>
            <w:shd w:fill="F4F6F5" w:val="clear"/>
            <w:tcMar>
              <w:top w:type="dxa" w:w="100"/>
              <w:left w:type="dxa" w:w="140"/>
              <w:bottom w:type="dxa" w:w="100"/>
              <w:right w:type="dxa" w:w="140"/>
            </w:tcMar>
          </w:tcPr>
          <w:p>
            <w:r>
              <w:rPr>
                <w:rFonts w:ascii="Courier New" w:cs="Courier New" w:eastAsia="Courier New" w:hAnsi="Courier New"/>
                <w:b/>
                <w:bCs/>
                <w:color w:val="5B6B72"/>
                <w:sz w:val="14"/>
                <w:szCs w:val="14"/>
              </w:rPr>
              <w:t xml:space="preserve">BEFORE</w:t>
            </w:r>
          </w:p>
        </w:tc>
        <w:tc>
          <w:tcPr>
            <w:tcW w:type="dxa" w:w="2340"/>
            <w:shd w:fill="F4F6F5" w:val="clear"/>
            <w:tcMar>
              <w:top w:type="dxa" w:w="100"/>
              <w:left w:type="dxa" w:w="140"/>
              <w:bottom w:type="dxa" w:w="100"/>
              <w:right w:type="dxa" w:w="140"/>
            </w:tcMar>
          </w:tcPr>
          <w:p>
            <w:r>
              <w:rPr>
                <w:rFonts w:ascii="Courier New" w:cs="Courier New" w:eastAsia="Courier New" w:hAnsi="Courier New"/>
                <w:b/>
                <w:bCs/>
                <w:color w:val="5B6B72"/>
                <w:sz w:val="14"/>
                <w:szCs w:val="14"/>
              </w:rPr>
              <w:t xml:space="preserve">AFTER</w:t>
            </w:r>
          </w:p>
        </w:tc>
        <w:tc>
          <w:tcPr>
            <w:tcW w:type="dxa" w:w="2340"/>
            <w:shd w:fill="F4F6F5" w:val="clear"/>
            <w:tcMar>
              <w:top w:type="dxa" w:w="100"/>
              <w:left w:type="dxa" w:w="140"/>
              <w:bottom w:type="dxa" w:w="100"/>
              <w:right w:type="dxa" w:w="140"/>
            </w:tcMar>
          </w:tcPr>
          <w:p>
            <w:r>
              <w:rPr>
                <w:rFonts w:ascii="Courier New" w:cs="Courier New" w:eastAsia="Courier New" w:hAnsi="Courier New"/>
                <w:b/>
                <w:bCs/>
                <w:color w:val="5B6B72"/>
                <w:sz w:val="14"/>
                <w:szCs w:val="14"/>
              </w:rPr>
              <w:t xml:space="preserve">CHANGE</w:t>
            </w:r>
          </w:p>
        </w:tc>
      </w:tr>
      <w:tr>
        <w:tc>
          <w:tcPr>
            <w:tcW w:type="dxa" w:w="2340"/>
            <w:tcMar>
              <w:top w:type="dxa" w:w="90"/>
              <w:left w:type="dxa" w:w="140"/>
              <w:bottom w:type="dxa" w:w="90"/>
              <w:right w:type="dxa" w:w="140"/>
            </w:tcMar>
            <w:vAlign w:val="center"/>
          </w:tcPr>
          <w:p>
            <w:r>
              <w:rPr>
                <w:b w:val="false"/>
                <w:bCs w:val="false"/>
                <w:color w:val="131B20"/>
                <w:sz w:val="20"/>
                <w:szCs w:val="20"/>
              </w:rPr>
              <w:t xml:space="preserve">Monthly LLM spend</w:t>
            </w:r>
          </w:p>
        </w:tc>
        <w:tc>
          <w:tcPr>
            <w:tcW w:type="dxa" w:w="2340"/>
            <w:tcMar>
              <w:top w:type="dxa" w:w="90"/>
              <w:left w:type="dxa" w:w="140"/>
              <w:bottom w:type="dxa" w:w="90"/>
              <w:right w:type="dxa" w:w="140"/>
            </w:tcMar>
            <w:vAlign w:val="center"/>
          </w:tcPr>
          <w:p>
            <w:r>
              <w:rPr>
                <w:b w:val="false"/>
                <w:bCs w:val="false"/>
                <w:color w:val="131B20"/>
                <w:sz w:val="20"/>
                <w:szCs w:val="20"/>
              </w:rPr>
              <w:t xml:space="preserve">$118,400</w:t>
            </w:r>
          </w:p>
        </w:tc>
        <w:tc>
          <w:tcPr>
            <w:tcW w:type="dxa" w:w="2340"/>
            <w:tcMar>
              <w:top w:type="dxa" w:w="90"/>
              <w:left w:type="dxa" w:w="140"/>
              <w:bottom w:type="dxa" w:w="90"/>
              <w:right w:type="dxa" w:w="140"/>
            </w:tcMar>
            <w:vAlign w:val="center"/>
          </w:tcPr>
          <w:p>
            <w:r>
              <w:rPr>
                <w:b w:val="false"/>
                <w:bCs w:val="false"/>
                <w:color w:val="131B20"/>
                <w:sz w:val="20"/>
                <w:szCs w:val="20"/>
              </w:rPr>
              <w:t xml:space="preserve">$53,300</w:t>
            </w:r>
          </w:p>
        </w:tc>
        <w:tc>
          <w:tcPr>
            <w:tcW w:type="dxa" w:w="2340"/>
            <w:tcMar>
              <w:top w:type="dxa" w:w="90"/>
              <w:left w:type="dxa" w:w="140"/>
              <w:bottom w:type="dxa" w:w="90"/>
              <w:right w:type="dxa" w:w="140"/>
            </w:tcMar>
            <w:vAlign w:val="center"/>
          </w:tcPr>
          <w:p>
            <w:r>
              <w:rPr>
                <w:b/>
                <w:bCs/>
                <w:color w:val="0D7D63"/>
                <w:sz w:val="20"/>
                <w:szCs w:val="20"/>
              </w:rPr>
              <w:t xml:space="preserve">−55%</w:t>
            </w:r>
          </w:p>
        </w:tc>
      </w:tr>
      <w:tr>
        <w:tc>
          <w:tcPr>
            <w:tcW w:type="dxa" w:w="2340"/>
            <w:tcMar>
              <w:top w:type="dxa" w:w="90"/>
              <w:left w:type="dxa" w:w="140"/>
              <w:bottom w:type="dxa" w:w="90"/>
              <w:right w:type="dxa" w:w="140"/>
            </w:tcMar>
            <w:vAlign w:val="center"/>
          </w:tcPr>
          <w:p>
            <w:r>
              <w:rPr>
                <w:b w:val="false"/>
                <w:bCs w:val="false"/>
                <w:color w:val="131B20"/>
                <w:sz w:val="20"/>
                <w:szCs w:val="20"/>
              </w:rPr>
              <w:t xml:space="preserve">Avg. cost per ticket handled</w:t>
            </w:r>
          </w:p>
        </w:tc>
        <w:tc>
          <w:tcPr>
            <w:tcW w:type="dxa" w:w="2340"/>
            <w:tcMar>
              <w:top w:type="dxa" w:w="90"/>
              <w:left w:type="dxa" w:w="140"/>
              <w:bottom w:type="dxa" w:w="90"/>
              <w:right w:type="dxa" w:w="140"/>
            </w:tcMar>
            <w:vAlign w:val="center"/>
          </w:tcPr>
          <w:p>
            <w:r>
              <w:rPr>
                <w:b w:val="false"/>
                <w:bCs w:val="false"/>
                <w:color w:val="131B20"/>
                <w:sz w:val="20"/>
                <w:szCs w:val="20"/>
              </w:rPr>
              <w:t xml:space="preserve">$2.96</w:t>
            </w:r>
          </w:p>
        </w:tc>
        <w:tc>
          <w:tcPr>
            <w:tcW w:type="dxa" w:w="2340"/>
            <w:tcMar>
              <w:top w:type="dxa" w:w="90"/>
              <w:left w:type="dxa" w:w="140"/>
              <w:bottom w:type="dxa" w:w="90"/>
              <w:right w:type="dxa" w:w="140"/>
            </w:tcMar>
            <w:vAlign w:val="center"/>
          </w:tcPr>
          <w:p>
            <w:r>
              <w:rPr>
                <w:b w:val="false"/>
                <w:bCs w:val="false"/>
                <w:color w:val="131B20"/>
                <w:sz w:val="20"/>
                <w:szCs w:val="20"/>
              </w:rPr>
              <w:t xml:space="preserve">$1.33</w:t>
            </w:r>
          </w:p>
        </w:tc>
        <w:tc>
          <w:tcPr>
            <w:tcW w:type="dxa" w:w="2340"/>
            <w:tcMar>
              <w:top w:type="dxa" w:w="90"/>
              <w:left w:type="dxa" w:w="140"/>
              <w:bottom w:type="dxa" w:w="90"/>
              <w:right w:type="dxa" w:w="140"/>
            </w:tcMar>
            <w:vAlign w:val="center"/>
          </w:tcPr>
          <w:p>
            <w:r>
              <w:rPr>
                <w:b/>
                <w:bCs/>
                <w:color w:val="0D7D63"/>
                <w:sz w:val="20"/>
                <w:szCs w:val="20"/>
              </w:rPr>
              <w:t xml:space="preserve">−55%</w:t>
            </w:r>
          </w:p>
        </w:tc>
      </w:tr>
      <w:tr>
        <w:tc>
          <w:tcPr>
            <w:tcW w:type="dxa" w:w="2340"/>
            <w:tcMar>
              <w:top w:type="dxa" w:w="90"/>
              <w:left w:type="dxa" w:w="140"/>
              <w:bottom w:type="dxa" w:w="90"/>
              <w:right w:type="dxa" w:w="140"/>
            </w:tcMar>
            <w:vAlign w:val="center"/>
          </w:tcPr>
          <w:p>
            <w:r>
              <w:rPr>
                <w:b w:val="false"/>
                <w:bCs w:val="false"/>
                <w:color w:val="131B20"/>
                <w:sz w:val="20"/>
                <w:szCs w:val="20"/>
              </w:rPr>
              <w:t xml:space="preserve">Avg. input tokens (reply drafts)</w:t>
            </w:r>
          </w:p>
        </w:tc>
        <w:tc>
          <w:tcPr>
            <w:tcW w:type="dxa" w:w="2340"/>
            <w:tcMar>
              <w:top w:type="dxa" w:w="90"/>
              <w:left w:type="dxa" w:w="140"/>
              <w:bottom w:type="dxa" w:w="90"/>
              <w:right w:type="dxa" w:w="140"/>
            </w:tcMar>
            <w:vAlign w:val="center"/>
          </w:tcPr>
          <w:p>
            <w:r>
              <w:rPr>
                <w:b w:val="false"/>
                <w:bCs w:val="false"/>
                <w:color w:val="131B20"/>
                <w:sz w:val="20"/>
                <w:szCs w:val="20"/>
              </w:rPr>
              <w:t xml:space="preserve">3,900</w:t>
            </w:r>
          </w:p>
        </w:tc>
        <w:tc>
          <w:tcPr>
            <w:tcW w:type="dxa" w:w="2340"/>
            <w:tcMar>
              <w:top w:type="dxa" w:w="90"/>
              <w:left w:type="dxa" w:w="140"/>
              <w:bottom w:type="dxa" w:w="90"/>
              <w:right w:type="dxa" w:w="140"/>
            </w:tcMar>
            <w:vAlign w:val="center"/>
          </w:tcPr>
          <w:p>
            <w:r>
              <w:rPr>
                <w:b w:val="false"/>
                <w:bCs w:val="false"/>
                <w:color w:val="131B20"/>
                <w:sz w:val="20"/>
                <w:szCs w:val="20"/>
              </w:rPr>
              <w:t xml:space="preserve">1,650</w:t>
            </w:r>
          </w:p>
        </w:tc>
        <w:tc>
          <w:tcPr>
            <w:tcW w:type="dxa" w:w="2340"/>
            <w:tcMar>
              <w:top w:type="dxa" w:w="90"/>
              <w:left w:type="dxa" w:w="140"/>
              <w:bottom w:type="dxa" w:w="90"/>
              <w:right w:type="dxa" w:w="140"/>
            </w:tcMar>
            <w:vAlign w:val="center"/>
          </w:tcPr>
          <w:p>
            <w:r>
              <w:rPr>
                <w:b/>
                <w:bCs/>
                <w:color w:val="0D7D63"/>
                <w:sz w:val="20"/>
                <w:szCs w:val="20"/>
              </w:rPr>
              <w:t xml:space="preserve">−58%</w:t>
            </w:r>
          </w:p>
        </w:tc>
      </w:tr>
      <w:tr>
        <w:tc>
          <w:tcPr>
            <w:tcW w:type="dxa" w:w="2340"/>
            <w:tcMar>
              <w:top w:type="dxa" w:w="90"/>
              <w:left w:type="dxa" w:w="140"/>
              <w:bottom w:type="dxa" w:w="90"/>
              <w:right w:type="dxa" w:w="140"/>
            </w:tcMar>
            <w:vAlign w:val="center"/>
          </w:tcPr>
          <w:p>
            <w:r>
              <w:rPr>
                <w:b w:val="false"/>
                <w:bCs w:val="false"/>
                <w:color w:val="131B20"/>
                <w:sz w:val="20"/>
                <w:szCs w:val="20"/>
              </w:rPr>
              <w:t xml:space="preserve">Avg. output tokens (reply drafts)</w:t>
            </w:r>
          </w:p>
        </w:tc>
        <w:tc>
          <w:tcPr>
            <w:tcW w:type="dxa" w:w="2340"/>
            <w:tcMar>
              <w:top w:type="dxa" w:w="90"/>
              <w:left w:type="dxa" w:w="140"/>
              <w:bottom w:type="dxa" w:w="90"/>
              <w:right w:type="dxa" w:w="140"/>
            </w:tcMar>
            <w:vAlign w:val="center"/>
          </w:tcPr>
          <w:p>
            <w:r>
              <w:rPr>
                <w:b w:val="false"/>
                <w:bCs w:val="false"/>
                <w:color w:val="131B20"/>
                <w:sz w:val="20"/>
                <w:szCs w:val="20"/>
              </w:rPr>
              <w:t xml:space="preserve">340</w:t>
            </w:r>
          </w:p>
        </w:tc>
        <w:tc>
          <w:tcPr>
            <w:tcW w:type="dxa" w:w="2340"/>
            <w:tcMar>
              <w:top w:type="dxa" w:w="90"/>
              <w:left w:type="dxa" w:w="140"/>
              <w:bottom w:type="dxa" w:w="90"/>
              <w:right w:type="dxa" w:w="140"/>
            </w:tcMar>
            <w:vAlign w:val="center"/>
          </w:tcPr>
          <w:p>
            <w:r>
              <w:rPr>
                <w:b w:val="false"/>
                <w:bCs w:val="false"/>
                <w:color w:val="131B20"/>
                <w:sz w:val="20"/>
                <w:szCs w:val="20"/>
              </w:rPr>
              <w:t xml:space="preserve">210</w:t>
            </w:r>
          </w:p>
        </w:tc>
        <w:tc>
          <w:tcPr>
            <w:tcW w:type="dxa" w:w="2340"/>
            <w:tcMar>
              <w:top w:type="dxa" w:w="90"/>
              <w:left w:type="dxa" w:w="140"/>
              <w:bottom w:type="dxa" w:w="90"/>
              <w:right w:type="dxa" w:w="140"/>
            </w:tcMar>
            <w:vAlign w:val="center"/>
          </w:tcPr>
          <w:p>
            <w:r>
              <w:rPr>
                <w:b/>
                <w:bCs/>
                <w:color w:val="0D7D63"/>
                <w:sz w:val="20"/>
                <w:szCs w:val="20"/>
              </w:rPr>
              <w:t xml:space="preserve">−38%</w:t>
            </w:r>
          </w:p>
        </w:tc>
      </w:tr>
      <w:tr>
        <w:tc>
          <w:tcPr>
            <w:tcW w:type="dxa" w:w="2340"/>
            <w:tcMar>
              <w:top w:type="dxa" w:w="90"/>
              <w:left w:type="dxa" w:w="140"/>
              <w:bottom w:type="dxa" w:w="90"/>
              <w:right w:type="dxa" w:w="140"/>
            </w:tcMar>
            <w:vAlign w:val="center"/>
          </w:tcPr>
          <w:p>
            <w:r>
              <w:rPr>
                <w:b w:val="false"/>
                <w:bCs w:val="false"/>
                <w:color w:val="131B20"/>
                <w:sz w:val="20"/>
                <w:szCs w:val="20"/>
              </w:rPr>
              <w:t xml:space="preserve">Avg. p50 latency (reply drafts)</w:t>
            </w:r>
          </w:p>
        </w:tc>
        <w:tc>
          <w:tcPr>
            <w:tcW w:type="dxa" w:w="2340"/>
            <w:tcMar>
              <w:top w:type="dxa" w:w="90"/>
              <w:left w:type="dxa" w:w="140"/>
              <w:bottom w:type="dxa" w:w="90"/>
              <w:right w:type="dxa" w:w="140"/>
            </w:tcMar>
            <w:vAlign w:val="center"/>
          </w:tcPr>
          <w:p>
            <w:r>
              <w:rPr>
                <w:b w:val="false"/>
                <w:bCs w:val="false"/>
                <w:color w:val="131B20"/>
                <w:sz w:val="20"/>
                <w:szCs w:val="20"/>
              </w:rPr>
              <w:t xml:space="preserve">3.1s</w:t>
            </w:r>
          </w:p>
        </w:tc>
        <w:tc>
          <w:tcPr>
            <w:tcW w:type="dxa" w:w="2340"/>
            <w:tcMar>
              <w:top w:type="dxa" w:w="90"/>
              <w:left w:type="dxa" w:w="140"/>
              <w:bottom w:type="dxa" w:w="90"/>
              <w:right w:type="dxa" w:w="140"/>
            </w:tcMar>
            <w:vAlign w:val="center"/>
          </w:tcPr>
          <w:p>
            <w:r>
              <w:rPr>
                <w:b w:val="false"/>
                <w:bCs w:val="false"/>
                <w:color w:val="131B20"/>
                <w:sz w:val="20"/>
                <w:szCs w:val="20"/>
              </w:rPr>
              <w:t xml:space="preserve">2.4s</w:t>
            </w:r>
          </w:p>
        </w:tc>
        <w:tc>
          <w:tcPr>
            <w:tcW w:type="dxa" w:w="2340"/>
            <w:tcMar>
              <w:top w:type="dxa" w:w="90"/>
              <w:left w:type="dxa" w:w="140"/>
              <w:bottom w:type="dxa" w:w="90"/>
              <w:right w:type="dxa" w:w="140"/>
            </w:tcMar>
            <w:vAlign w:val="center"/>
          </w:tcPr>
          <w:p>
            <w:r>
              <w:rPr>
                <w:b/>
                <w:bCs/>
                <w:color w:val="0D7D63"/>
                <w:sz w:val="20"/>
                <w:szCs w:val="20"/>
              </w:rPr>
              <w:t xml:space="preserve">−23%</w:t>
            </w:r>
          </w:p>
        </w:tc>
      </w:tr>
      <w:tr>
        <w:tc>
          <w:tcPr>
            <w:tcW w:type="dxa" w:w="2340"/>
            <w:tcMar>
              <w:top w:type="dxa" w:w="90"/>
              <w:left w:type="dxa" w:w="140"/>
              <w:bottom w:type="dxa" w:w="90"/>
              <w:right w:type="dxa" w:w="140"/>
            </w:tcMar>
            <w:vAlign w:val="center"/>
          </w:tcPr>
          <w:p>
            <w:r>
              <w:rPr>
                <w:b w:val="false"/>
                <w:bCs w:val="false"/>
                <w:color w:val="131B20"/>
                <w:sz w:val="20"/>
                <w:szCs w:val="20"/>
              </w:rPr>
              <w:t xml:space="preserve">Task success rate (golden set)</w:t>
            </w:r>
          </w:p>
        </w:tc>
        <w:tc>
          <w:tcPr>
            <w:tcW w:type="dxa" w:w="2340"/>
            <w:tcMar>
              <w:top w:type="dxa" w:w="90"/>
              <w:left w:type="dxa" w:w="140"/>
              <w:bottom w:type="dxa" w:w="90"/>
              <w:right w:type="dxa" w:w="140"/>
            </w:tcMar>
            <w:vAlign w:val="center"/>
          </w:tcPr>
          <w:p>
            <w:r>
              <w:rPr>
                <w:b w:val="false"/>
                <w:bCs w:val="false"/>
                <w:color w:val="131B20"/>
                <w:sz w:val="20"/>
                <w:szCs w:val="20"/>
              </w:rPr>
              <w:t xml:space="preserve">94.1%</w:t>
            </w:r>
          </w:p>
        </w:tc>
        <w:tc>
          <w:tcPr>
            <w:tcW w:type="dxa" w:w="2340"/>
            <w:tcMar>
              <w:top w:type="dxa" w:w="90"/>
              <w:left w:type="dxa" w:w="140"/>
              <w:bottom w:type="dxa" w:w="90"/>
              <w:right w:type="dxa" w:w="140"/>
            </w:tcMar>
            <w:vAlign w:val="center"/>
          </w:tcPr>
          <w:p>
            <w:r>
              <w:rPr>
                <w:b w:val="false"/>
                <w:bCs w:val="false"/>
                <w:color w:val="131B20"/>
                <w:sz w:val="20"/>
                <w:szCs w:val="20"/>
              </w:rPr>
              <w:t xml:space="preserve">94.3%</w:t>
            </w:r>
          </w:p>
        </w:tc>
        <w:tc>
          <w:tcPr>
            <w:tcW w:type="dxa" w:w="2340"/>
            <w:tcMar>
              <w:top w:type="dxa" w:w="90"/>
              <w:left w:type="dxa" w:w="140"/>
              <w:bottom w:type="dxa" w:w="90"/>
              <w:right w:type="dxa" w:w="140"/>
            </w:tcMar>
            <w:vAlign w:val="center"/>
          </w:tcPr>
          <w:p>
            <w:r>
              <w:rPr>
                <w:b/>
                <w:bCs/>
                <w:color w:val="0D7D63"/>
                <w:sz w:val="20"/>
                <w:szCs w:val="20"/>
              </w:rPr>
              <w:t xml:space="preserve">+0.2pp (noise)</w:t>
            </w:r>
          </w:p>
        </w:tc>
      </w:tr>
      <w:tr>
        <w:tc>
          <w:tcPr>
            <w:tcW w:type="dxa" w:w="2340"/>
            <w:tcMar>
              <w:top w:type="dxa" w:w="90"/>
              <w:left w:type="dxa" w:w="140"/>
              <w:bottom w:type="dxa" w:w="90"/>
              <w:right w:type="dxa" w:w="140"/>
            </w:tcMar>
            <w:vAlign w:val="center"/>
          </w:tcPr>
          <w:p>
            <w:r>
              <w:rPr>
                <w:b w:val="false"/>
                <w:bCs w:val="false"/>
                <w:color w:val="131B20"/>
                <w:sz w:val="20"/>
                <w:szCs w:val="20"/>
              </w:rPr>
              <w:t xml:space="preserve">Human quality score (1–5)</w:t>
            </w:r>
          </w:p>
        </w:tc>
        <w:tc>
          <w:tcPr>
            <w:tcW w:type="dxa" w:w="2340"/>
            <w:tcMar>
              <w:top w:type="dxa" w:w="90"/>
              <w:left w:type="dxa" w:w="140"/>
              <w:bottom w:type="dxa" w:w="90"/>
              <w:right w:type="dxa" w:w="140"/>
            </w:tcMar>
            <w:vAlign w:val="center"/>
          </w:tcPr>
          <w:p>
            <w:r>
              <w:rPr>
                <w:b w:val="false"/>
                <w:bCs w:val="false"/>
                <w:color w:val="131B20"/>
                <w:sz w:val="20"/>
                <w:szCs w:val="20"/>
              </w:rPr>
              <w:t xml:space="preserve">4.6</w:t>
            </w:r>
          </w:p>
        </w:tc>
        <w:tc>
          <w:tcPr>
            <w:tcW w:type="dxa" w:w="2340"/>
            <w:tcMar>
              <w:top w:type="dxa" w:w="90"/>
              <w:left w:type="dxa" w:w="140"/>
              <w:bottom w:type="dxa" w:w="90"/>
              <w:right w:type="dxa" w:w="140"/>
            </w:tcMar>
            <w:vAlign w:val="center"/>
          </w:tcPr>
          <w:p>
            <w:r>
              <w:rPr>
                <w:b w:val="false"/>
                <w:bCs w:val="false"/>
                <w:color w:val="131B20"/>
                <w:sz w:val="20"/>
                <w:szCs w:val="20"/>
              </w:rPr>
              <w:t xml:space="preserve">4.6</w:t>
            </w:r>
          </w:p>
        </w:tc>
        <w:tc>
          <w:tcPr>
            <w:tcW w:type="dxa" w:w="2340"/>
            <w:tcMar>
              <w:top w:type="dxa" w:w="90"/>
              <w:left w:type="dxa" w:w="140"/>
              <w:bottom w:type="dxa" w:w="90"/>
              <w:right w:type="dxa" w:w="140"/>
            </w:tcMar>
            <w:vAlign w:val="center"/>
          </w:tcPr>
          <w:p>
            <w:r>
              <w:rPr>
                <w:b/>
                <w:bCs/>
                <w:color w:val="0D7D63"/>
                <w:sz w:val="20"/>
                <w:szCs w:val="20"/>
              </w:rPr>
              <w:t xml:space="preserve">unchanged</w:t>
            </w:r>
          </w:p>
        </w:tc>
      </w:tr>
      <w:tr>
        <w:tc>
          <w:tcPr>
            <w:tcW w:type="dxa" w:w="2340"/>
            <w:tcMar>
              <w:top w:type="dxa" w:w="90"/>
              <w:left w:type="dxa" w:w="140"/>
              <w:bottom w:type="dxa" w:w="90"/>
              <w:right w:type="dxa" w:w="140"/>
            </w:tcMar>
            <w:vAlign w:val="center"/>
          </w:tcPr>
          <w:p>
            <w:r>
              <w:rPr>
                <w:b w:val="false"/>
                <w:bCs w:val="false"/>
                <w:color w:val="131B20"/>
                <w:sz w:val="20"/>
                <w:szCs w:val="20"/>
              </w:rPr>
              <w:t xml:space="preserve">Agent edit rate (production)</w:t>
            </w:r>
          </w:p>
        </w:tc>
        <w:tc>
          <w:tcPr>
            <w:tcW w:type="dxa" w:w="2340"/>
            <w:tcMar>
              <w:top w:type="dxa" w:w="90"/>
              <w:left w:type="dxa" w:w="140"/>
              <w:bottom w:type="dxa" w:w="90"/>
              <w:right w:type="dxa" w:w="140"/>
            </w:tcMar>
            <w:vAlign w:val="center"/>
          </w:tcPr>
          <w:p>
            <w:r>
              <w:rPr>
                <w:b w:val="false"/>
                <w:bCs w:val="false"/>
                <w:color w:val="131B20"/>
                <w:sz w:val="20"/>
                <w:szCs w:val="20"/>
              </w:rPr>
              <w:t xml:space="preserve">34%</w:t>
            </w:r>
          </w:p>
        </w:tc>
        <w:tc>
          <w:tcPr>
            <w:tcW w:type="dxa" w:w="2340"/>
            <w:tcMar>
              <w:top w:type="dxa" w:w="90"/>
              <w:left w:type="dxa" w:w="140"/>
              <w:bottom w:type="dxa" w:w="90"/>
              <w:right w:type="dxa" w:w="140"/>
            </w:tcMar>
            <w:vAlign w:val="center"/>
          </w:tcPr>
          <w:p>
            <w:r>
              <w:rPr>
                <w:b w:val="false"/>
                <w:bCs w:val="false"/>
                <w:color w:val="131B20"/>
                <w:sz w:val="20"/>
                <w:szCs w:val="20"/>
              </w:rPr>
              <w:t xml:space="preserve">33%</w:t>
            </w:r>
          </w:p>
        </w:tc>
        <w:tc>
          <w:tcPr>
            <w:tcW w:type="dxa" w:w="2340"/>
            <w:tcMar>
              <w:top w:type="dxa" w:w="90"/>
              <w:left w:type="dxa" w:w="140"/>
              <w:bottom w:type="dxa" w:w="90"/>
              <w:right w:type="dxa" w:w="140"/>
            </w:tcMar>
            <w:vAlign w:val="center"/>
          </w:tcPr>
          <w:p>
            <w:r>
              <w:rPr>
                <w:b/>
                <w:bCs/>
                <w:color w:val="0D7D63"/>
                <w:sz w:val="20"/>
                <w:szCs w:val="20"/>
              </w:rPr>
              <w:t xml:space="preserve">unchanged</w:t>
            </w:r>
          </w:p>
        </w:tc>
      </w:tr>
    </w:tbl>
    <w:p>
      <w:pPr>
        <w:spacing w:after="200"/>
      </w:pPr>
    </w:p>
    <w:p>
      <w:pPr>
        <w:spacing w:after="60"/>
      </w:pPr>
      <w:r>
        <w:drawing>
          <wp:inline distT="0" distB="0" distL="0" distR="0">
            <wp:extent cx="90487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 cy="504825"/>
                    </a:xfrm>
                    <a:prstGeom prst="rect">
                      <a:avLst/>
                    </a:prstGeom>
                  </pic:spPr>
                </pic:pic>
              </a:graphicData>
            </a:graphic>
          </wp:inline>
        </w:drawing>
      </w:r>
    </w:p>
    <w:p>
      <w:pPr>
        <w:spacing w:after="280"/>
      </w:pPr>
      <w:r>
        <w:rPr>
          <w:rFonts w:ascii="Courier New" w:cs="Courier New" w:eastAsia="Courier New" w:hAnsi="Courier New"/>
          <w:color w:val="5B6B72"/>
          <w:sz w:val="16"/>
          <w:szCs w:val="16"/>
        </w:rPr>
        <w:t xml:space="preserve">Fig. 03 — Monthly LLM spend, before vs. after.</w:t>
      </w:r>
    </w:p>
    <w:p>
      <w:pPr>
        <w:spacing w:after="60"/>
      </w:pPr>
      <w:r>
        <w:drawing>
          <wp:inline distT="0" distB="0" distL="0" distR="0">
            <wp:extent cx="90487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04875" cy="504825"/>
                    </a:xfrm>
                    <a:prstGeom prst="rect">
                      <a:avLst/>
                    </a:prstGeom>
                  </pic:spPr>
                </pic:pic>
              </a:graphicData>
            </a:graphic>
          </wp:inline>
        </w:drawing>
      </w:r>
    </w:p>
    <w:p>
      <w:pPr>
        <w:spacing w:after="280"/>
      </w:pPr>
      <w:r>
        <w:rPr>
          <w:rFonts w:ascii="Courier New" w:cs="Courier New" w:eastAsia="Courier New" w:hAnsi="Courier New"/>
          <w:color w:val="5B6B72"/>
          <w:sz w:val="16"/>
          <w:szCs w:val="16"/>
        </w:rPr>
        <w:t xml:space="preserve">Fig. 04 — Latency and cost dropped; quality score didn't move.</w:t>
      </w:r>
    </w:p>
    <w:p>
      <w:pPr>
        <w:spacing w:after="180"/>
      </w:pPr>
      <w:r>
        <w:rPr>
          <w:color w:val="131B20"/>
          <w:sz w:val="22"/>
          <w:szCs w:val="22"/>
        </w:rPr>
        <w:t xml:space="preserve">Latency dropped as a side effect, never a goal. Smaller models and shorter prompts just happen to be faster. Not something we set out to improve, but the agents waiting on these drafts in real time definitely appreciated it.</w:t>
      </w:r>
    </w:p>
    <w:p>
      <w:pPr>
        <w:pStyle w:val="Heading1"/>
        <w:pBdr>
          <w:top w:val="single" w:color="D9DFDD" w:sz="4"/>
        </w:pBdr>
        <w:spacing w:after="200" w:before="480"/>
      </w:pPr>
      <w:r>
        <w:rPr>
          <w:rFonts w:ascii="Georgia" w:cs="Georgia" w:eastAsia="Georgia" w:hAnsi="Georgia"/>
          <w:b/>
          <w:bCs/>
          <w:color w:val="131B20"/>
          <w:sz w:val="32"/>
          <w:szCs w:val="32"/>
        </w:rPr>
        <w:t xml:space="preserve">What We'd Do Differently</w:t>
      </w:r>
    </w:p>
    <w:p>
      <w:pPr>
        <w:spacing w:after="180"/>
      </w:pPr>
      <w:r>
        <w:rPr>
          <w:color w:val="131B20"/>
          <w:sz w:val="22"/>
          <w:szCs w:val="22"/>
        </w:rPr>
        <w:t xml:space="preserve">If we could redo this engagement, three things would change. First, we'd push for token logging on day one rather than waiting weeks for visibility. Second, we'd test latency impact of batching before writing a line of code, not after. Third, we'd set up prompt governance from the start, because prompt bloat is an ownership problem, not a tooling problem.</w:t>
      </w:r>
    </w:p>
    <w:p>
      <w:pPr>
        <w:pStyle w:val="Heading1"/>
        <w:pBdr>
          <w:top w:val="single" w:color="D9DFDD" w:sz="4"/>
        </w:pBdr>
        <w:spacing w:after="200" w:before="480"/>
      </w:pPr>
      <w:r>
        <w:rPr>
          <w:rFonts w:ascii="Georgia" w:cs="Georgia" w:eastAsia="Georgia" w:hAnsi="Georgia"/>
          <w:b/>
          <w:bCs/>
          <w:color w:val="131B20"/>
          <w:sz w:val="32"/>
          <w:szCs w:val="32"/>
        </w:rPr>
        <w:t xml:space="preserve">What Actually Mattered Most</w:t>
      </w:r>
    </w:p>
    <w:p>
      <w:pPr>
        <w:spacing w:after="180"/>
      </w:pPr>
      <w:r>
        <w:rPr>
          <w:color w:val="131B20"/>
          <w:sz w:val="22"/>
          <w:szCs w:val="22"/>
        </w:rPr>
        <w:t xml:space="preserve">The audit paid for itself in the first week. Routing requests to the right-sized model saved more than any prompt trick. Prompt caching was almost free money given our static prompt prefix. Semantic caching worked but required a high similarity threshold. Incremental summarization beat full reprocessing by miles. Output caps killed verbosity without hurting quality. And shadow testing caught a regression that a standard eval would have missed.</w:t>
      </w:r>
    </w:p>
    <w:p>
      <w:pPr>
        <w:pStyle w:val="Heading1"/>
        <w:pBdr>
          <w:top w:val="single" w:color="D9DFDD" w:sz="4"/>
        </w:pBdr>
        <w:spacing w:after="200" w:before="480"/>
      </w:pPr>
      <w:r>
        <w:rPr>
          <w:rFonts w:ascii="Georgia" w:cs="Georgia" w:eastAsia="Georgia" w:hAnsi="Georgia"/>
          <w:b/>
          <w:bCs/>
          <w:color w:val="131B20"/>
          <w:sz w:val="32"/>
          <w:szCs w:val="32"/>
        </w:rPr>
        <w:t xml:space="preserve">Applicability</w:t>
      </w:r>
    </w:p>
    <w:p>
      <w:pPr>
        <w:spacing w:after="180"/>
      </w:pPr>
      <w:r>
        <w:rPr>
          <w:color w:val="131B20"/>
          <w:sz w:val="22"/>
          <w:szCs w:val="22"/>
        </w:rPr>
        <w:t xml:space="preserve">Everything here (model routing, prompt caching, context trimming) applies whether you're on OpenAI, Anthropic, or Google. Provider-agnostic stuff. Ran a similar optimization on your own pipeline? We'd genuinely like to hear how it went.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00" w:hanging="260"/>
      </w:pPr>
      <w:rPr>
        <w:color w:val="0D7D63"/>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11f1bde3d3e9ad285bf0f27d6479f40caff376.jpg"/><Relationship Id="rId8" Type="http://schemas.openxmlformats.org/officeDocument/2006/relationships/image" Target="media/5aa4fbf0a969200282cf53a252e90de662d6bc4f.jpg"/><Relationship Id="rId9" Type="http://schemas.openxmlformats.org/officeDocument/2006/relationships/image" Target="media/c6df8a9611f7ac80e46343c2eafedbdb33aa1c7f.jpg"/><Relationship Id="rId10" Type="http://schemas.openxmlformats.org/officeDocument/2006/relationships/image" Target="media/5fc12f5a5592e27688f95a87d6fed125397c13ed.jpg"/><Relationship Id="rId11" Type="http://schemas.openxmlformats.org/officeDocument/2006/relationships/image" Target="media/19b522bfb6f9384f379db1a99b9d61c6bf09af2e.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2026-09-08T23:52:52.642Z</dcterms:created>
  <dcterms:modified xsi:type="dcterms:W3CDTF">2026-09-08T23:52:52.643Z</dcterms:modified>
</cp:coreProperties>
</file>

<file path=docProps/custom.xml><?xml version="1.0" encoding="utf-8"?>
<Properties xmlns="http://schemas.openxmlformats.org/officeDocument/2006/custom-properties" xmlns:vt="http://schemas.openxmlformats.org/officeDocument/2006/docPropsVTypes"/>
</file>