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KYC &amp; AML Risk Analysis Project - Insight Report</w:t>
      </w:r>
    </w:p>
    <w:p>
      <w:pPr>
        <w:pStyle w:val="Heading2"/>
      </w:pPr>
      <w:r>
        <w:t>Executive Summary</w:t>
      </w:r>
    </w:p>
    <w:p>
      <w:r>
        <w:t>This report summarizes the findings from SQL-based analysis performed on a synthetic KYC/AML dataset. The objective is to evaluate customer onboarding, document compliance, AML risk indicators, and transaction behaviour to support compliance monitoring and risk-based decision making.</w:t>
      </w:r>
    </w:p>
    <w:p>
      <w:pPr>
        <w:pStyle w:val="Heading2"/>
      </w:pPr>
      <w:r>
        <w:t>1. Total Customers</w:t>
      </w:r>
    </w:p>
    <w:p>
      <w:r>
        <w:t>Observation: The customer master contains a complete population of customers used for compliance monitoring and reporting.</w:t>
      </w:r>
    </w:p>
    <w:p>
      <w:r>
        <w:t>Recommendation: Maintain a single, validated customer master and perform periodic data quality checks.</w:t>
      </w:r>
    </w:p>
    <w:p>
      <w:pPr>
        <w:pStyle w:val="Heading2"/>
      </w:pPr>
      <w:r>
        <w:t>2. KYC Status Summary</w:t>
      </w:r>
    </w:p>
    <w:p>
      <w:r>
        <w:t>Observation: Most customers have completed KYC, while a smaller group remains pending or rejected.</w:t>
      </w:r>
    </w:p>
    <w:p>
      <w:r>
        <w:t>Recommendation: Prioritize pending and rejected cases to improve compliance rates.</w:t>
      </w:r>
    </w:p>
    <w:p>
      <w:pPr>
        <w:pStyle w:val="Heading2"/>
      </w:pPr>
      <w:r>
        <w:t>3. Pending KYC</w:t>
      </w:r>
    </w:p>
    <w:p>
      <w:r>
        <w:t>Observation: Pending KYC cases indicate incomplete customer verification.</w:t>
      </w:r>
    </w:p>
    <w:p>
      <w:r>
        <w:t>Recommendation: Contact customers for missing documents and track completion through SLAs.</w:t>
      </w:r>
    </w:p>
    <w:p>
      <w:pPr>
        <w:pStyle w:val="Heading2"/>
      </w:pPr>
      <w:r>
        <w:t>4. Expired Documents</w:t>
      </w:r>
    </w:p>
    <w:p>
      <w:r>
        <w:t>Observation: Some customers have expired identity documents.</w:t>
      </w:r>
    </w:p>
    <w:p>
      <w:r>
        <w:t>Recommendation: Trigger automated renewal reminders before document expiry.</w:t>
      </w:r>
    </w:p>
    <w:p>
      <w:pPr>
        <w:pStyle w:val="Heading2"/>
      </w:pPr>
      <w:r>
        <w:t>5. High-Risk Customers</w:t>
      </w:r>
    </w:p>
    <w:p>
      <w:r>
        <w:t>Observation: High-risk customers were identified based on AML risk scores.</w:t>
      </w:r>
    </w:p>
    <w:p>
      <w:r>
        <w:t>Recommendation: Apply Enhanced Due Diligence (EDD) and increase monitoring frequency.</w:t>
      </w:r>
    </w:p>
    <w:p>
      <w:pPr>
        <w:pStyle w:val="Heading2"/>
      </w:pPr>
      <w:r>
        <w:t>6. PEP Customers</w:t>
      </w:r>
    </w:p>
    <w:p>
      <w:r>
        <w:t>Observation: Politically Exposed Persons require additional scrutiny.</w:t>
      </w:r>
    </w:p>
    <w:p>
      <w:r>
        <w:t>Recommendation: Conduct periodic reviews and obtain management approval where required.</w:t>
      </w:r>
    </w:p>
    <w:p>
      <w:pPr>
        <w:pStyle w:val="Heading2"/>
      </w:pPr>
      <w:r>
        <w:t>7. Sanction Matches</w:t>
      </w:r>
    </w:p>
    <w:p>
      <w:r>
        <w:t>Observation: Potential sanctions matches require validation before account approval.</w:t>
      </w:r>
    </w:p>
    <w:p>
      <w:r>
        <w:t>Recommendation: Escalate confirmed matches according to compliance policy.</w:t>
      </w:r>
    </w:p>
    <w:p>
      <w:pPr>
        <w:pStyle w:val="Heading2"/>
      </w:pPr>
      <w:r>
        <w:t>8. High-Risk Countries</w:t>
      </w:r>
    </w:p>
    <w:p>
      <w:r>
        <w:t>Observation: Customers linked to high-risk jurisdictions require stronger monitoring.</w:t>
      </w:r>
    </w:p>
    <w:p>
      <w:r>
        <w:t>Recommendation: Apply country-specific controls and periodic reassessment.</w:t>
      </w:r>
    </w:p>
    <w:p>
      <w:pPr>
        <w:pStyle w:val="Heading2"/>
      </w:pPr>
      <w:r>
        <w:t>9. High-Value Transactions</w:t>
      </w:r>
    </w:p>
    <w:p>
      <w:r>
        <w:t>Observation: Large-value transactions may indicate unusual activity depending on customer profile.</w:t>
      </w:r>
    </w:p>
    <w:p>
      <w:r>
        <w:t>Recommendation: Review transactions against expected customer behaviour and investigate exceptions.</w:t>
      </w:r>
    </w:p>
    <w:p>
      <w:pPr>
        <w:pStyle w:val="Heading2"/>
      </w:pPr>
      <w:r>
        <w:t>10. Top Customers by Transaction Value</w:t>
      </w:r>
    </w:p>
    <w:p>
      <w:r>
        <w:t>Observation: A small number of customers contribute a significant share of transaction volume.</w:t>
      </w:r>
    </w:p>
    <w:p>
      <w:r>
        <w:t>Recommendation: Monitor these accounts using ongoing transaction surveillance.</w:t>
      </w:r>
    </w:p>
    <w:p>
      <w:pPr>
        <w:pStyle w:val="Heading2"/>
      </w:pPr>
      <w:r>
        <w:t>11. Country-wise Customer Distribution</w:t>
      </w:r>
    </w:p>
    <w:p>
      <w:r>
        <w:t>Observation: Customer concentration differs across countries.</w:t>
      </w:r>
    </w:p>
    <w:p>
      <w:r>
        <w:t>Recommendation: Allocate compliance resources according to geographic exposure.</w:t>
      </w:r>
    </w:p>
    <w:p>
      <w:pPr>
        <w:pStyle w:val="Heading2"/>
      </w:pPr>
      <w:r>
        <w:t>12. Risk Distribution</w:t>
      </w:r>
    </w:p>
    <w:p>
      <w:r>
        <w:t>Observation: Most customers fall into low and medium risk categories, with fewer high-risk profiles.</w:t>
      </w:r>
    </w:p>
    <w:p>
      <w:r>
        <w:t>Recommendation: Focus compliance reviews on high-risk customers while maintaining periodic reviews for others.</w:t>
      </w:r>
    </w:p>
    <w:p>
      <w:pPr>
        <w:pStyle w:val="Heading2"/>
      </w:pPr>
      <w:r>
        <w:t>13. Occupation-wise Risk</w:t>
      </w:r>
    </w:p>
    <w:p>
      <w:r>
        <w:t>Observation: Certain occupations show a higher proportion of medium and high-risk customers.</w:t>
      </w:r>
    </w:p>
    <w:p>
      <w:r>
        <w:t>Recommendation: Include occupation as one factor in the overall customer risk assessment.</w:t>
      </w:r>
    </w:p>
    <w:p>
      <w:pPr>
        <w:pStyle w:val="Heading2"/>
      </w:pPr>
      <w:r>
        <w:t>14. Average Transaction</w:t>
      </w:r>
    </w:p>
    <w:p>
      <w:r>
        <w:t>Observation: Average transaction values establish a baseline for expected customer activity.</w:t>
      </w:r>
    </w:p>
    <w:p>
      <w:r>
        <w:t>Recommendation: Use threshold alerts to identify deviations from normal behaviour.</w:t>
      </w:r>
    </w:p>
    <w:p>
      <w:pPr>
        <w:pStyle w:val="Heading2"/>
      </w:pPr>
      <w:r>
        <w:t>15. Customers Requiring EDD</w:t>
      </w:r>
    </w:p>
    <w:p>
      <w:r>
        <w:t>Observation: Customers identified through high risk, PEP status, or sanctions indicators require enhanced review.</w:t>
      </w:r>
    </w:p>
    <w:p>
      <w:r>
        <w:t>Recommendation: Complete EDD before onboarding or continuing the business relationship.</w:t>
      </w:r>
    </w:p>
    <w:p>
      <w:pPr>
        <w:pStyle w:val="Heading2"/>
      </w:pPr>
      <w:r>
        <w:t>Overall Business Recommendations</w:t>
      </w:r>
    </w:p>
    <w:p>
      <w:pPr>
        <w:pStyle w:val="ListBullet"/>
      </w:pPr>
      <w:r>
        <w:t>Improve KYC completion rates through proactive document collection.</w:t>
      </w:r>
    </w:p>
    <w:p>
      <w:pPr>
        <w:pStyle w:val="ListBullet"/>
      </w:pPr>
      <w:r>
        <w:t>Automate alerts for expiring KYC documents.</w:t>
      </w:r>
    </w:p>
    <w:p>
      <w:pPr>
        <w:pStyle w:val="ListBullet"/>
      </w:pPr>
      <w:r>
        <w:t>Perform regular PEP and sanctions screening.</w:t>
      </w:r>
    </w:p>
    <w:p>
      <w:pPr>
        <w:pStyle w:val="ListBullet"/>
      </w:pPr>
      <w:r>
        <w:t>Implement a risk-based review schedule for high-risk customers.</w:t>
      </w:r>
    </w:p>
    <w:p>
      <w:pPr>
        <w:pStyle w:val="ListBullet"/>
      </w:pPr>
      <w:r>
        <w:t>Monitor high-value transactions using automated AML rules.</w:t>
      </w:r>
    </w:p>
    <w:p>
      <w:pPr>
        <w:pStyle w:val="ListBullet"/>
      </w:pPr>
      <w:r>
        <w:t>Use interactive Power BI dashboards for continuous compliance reporting.</w:t>
      </w:r>
    </w:p>
    <w:p>
      <w:pPr>
        <w:pStyle w:val="Heading2"/>
      </w:pPr>
      <w:r>
        <w:t>Conclusion</w:t>
      </w:r>
    </w:p>
    <w:p>
      <w:r>
        <w:t>The project demonstrates practical application of SQL, Excel, and Power BI in a KYC/AML context. It highlights data validation, compliance monitoring, customer risk assessment, and business reporting skills relevant to entry-level KYC/AML Analyst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