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76A4D4" w14:textId="77777777" w:rsidR="00FD3D84" w:rsidRPr="00EB03CC" w:rsidRDefault="00FD3D84" w:rsidP="00FD3D84">
      <w:pPr>
        <w:spacing w:before="100" w:beforeAutospacing="1" w:after="100" w:afterAutospacing="1" w:line="240" w:lineRule="auto"/>
        <w:rPr>
          <w:rFonts w:ascii="Calibri" w:eastAsia="Times New Roman" w:hAnsi="Calibri" w:cs="Calibri"/>
          <w:b/>
          <w:bCs/>
          <w:kern w:val="0"/>
          <w:sz w:val="21"/>
          <w:szCs w:val="21"/>
          <w14:ligatures w14:val="none"/>
        </w:rPr>
      </w:pPr>
    </w:p>
    <w:p w14:paraId="139E4477" w14:textId="5E118324" w:rsidR="00FD3D84" w:rsidRPr="00EB03CC" w:rsidRDefault="00FD3D84" w:rsidP="00FD3D84">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Course Code:</w:t>
      </w:r>
      <w:r w:rsidRPr="00EB03CC">
        <w:rPr>
          <w:rFonts w:ascii="Calibri" w:eastAsia="Times New Roman" w:hAnsi="Calibri" w:cs="Calibri"/>
          <w:kern w:val="0"/>
          <w:sz w:val="21"/>
          <w:szCs w:val="21"/>
          <w14:ligatures w14:val="none"/>
        </w:rPr>
        <w:t xml:space="preserve"> GRC101</w:t>
      </w:r>
      <w:r w:rsidRPr="00EB03CC">
        <w:rPr>
          <w:rFonts w:ascii="Calibri" w:eastAsia="Times New Roman" w:hAnsi="Calibri" w:cs="Calibri"/>
          <w:kern w:val="0"/>
          <w:sz w:val="21"/>
          <w:szCs w:val="21"/>
          <w14:ligatures w14:val="none"/>
        </w:rPr>
        <w:br/>
      </w:r>
      <w:r w:rsidRPr="00EB03CC">
        <w:rPr>
          <w:rFonts w:ascii="Calibri" w:eastAsia="Times New Roman" w:hAnsi="Calibri" w:cs="Calibri"/>
          <w:b/>
          <w:bCs/>
          <w:kern w:val="0"/>
          <w:sz w:val="21"/>
          <w:szCs w:val="21"/>
          <w14:ligatures w14:val="none"/>
        </w:rPr>
        <w:t>Course Title:</w:t>
      </w:r>
      <w:r w:rsidRPr="00EB03CC">
        <w:rPr>
          <w:rFonts w:ascii="Calibri" w:eastAsia="Times New Roman" w:hAnsi="Calibri" w:cs="Calibri"/>
          <w:kern w:val="0"/>
          <w:sz w:val="21"/>
          <w:szCs w:val="21"/>
          <w14:ligatures w14:val="none"/>
        </w:rPr>
        <w:t xml:space="preserve"> Introduction to GRC Engineering</w:t>
      </w:r>
      <w:r w:rsidRPr="00EB03CC">
        <w:rPr>
          <w:rFonts w:ascii="Calibri" w:eastAsia="Times New Roman" w:hAnsi="Calibri" w:cs="Calibri"/>
          <w:kern w:val="0"/>
          <w:sz w:val="21"/>
          <w:szCs w:val="21"/>
          <w14:ligatures w14:val="none"/>
        </w:rPr>
        <w:br/>
      </w:r>
      <w:r w:rsidRPr="00EB03CC">
        <w:rPr>
          <w:rFonts w:ascii="Calibri" w:eastAsia="Times New Roman" w:hAnsi="Calibri" w:cs="Calibri"/>
          <w:b/>
          <w:bCs/>
          <w:kern w:val="0"/>
          <w:sz w:val="21"/>
          <w:szCs w:val="21"/>
          <w14:ligatures w14:val="none"/>
        </w:rPr>
        <w:t>Student Name:</w:t>
      </w:r>
      <w:r w:rsidRPr="00EB03CC">
        <w:rPr>
          <w:rFonts w:ascii="Calibri" w:eastAsia="Times New Roman" w:hAnsi="Calibri" w:cs="Calibri"/>
          <w:kern w:val="0"/>
          <w:sz w:val="21"/>
          <w:szCs w:val="21"/>
          <w14:ligatures w14:val="none"/>
        </w:rPr>
        <w:t xml:space="preserve"> Imelda Sanya</w:t>
      </w:r>
      <w:r w:rsidRPr="00EB03CC">
        <w:rPr>
          <w:rFonts w:ascii="Calibri" w:eastAsia="Times New Roman" w:hAnsi="Calibri" w:cs="Calibri"/>
          <w:kern w:val="0"/>
          <w:sz w:val="21"/>
          <w:szCs w:val="21"/>
          <w14:ligatures w14:val="none"/>
        </w:rPr>
        <w:br/>
      </w:r>
      <w:r w:rsidRPr="00EB03CC">
        <w:rPr>
          <w:rFonts w:ascii="Calibri" w:eastAsia="Times New Roman" w:hAnsi="Calibri" w:cs="Calibri"/>
          <w:b/>
          <w:bCs/>
          <w:kern w:val="0"/>
          <w:sz w:val="21"/>
          <w:szCs w:val="21"/>
          <w14:ligatures w14:val="none"/>
        </w:rPr>
        <w:t>Registration Number:</w:t>
      </w:r>
      <w:r w:rsidRPr="00EB03CC">
        <w:rPr>
          <w:rFonts w:ascii="Calibri" w:eastAsia="Times New Roman" w:hAnsi="Calibri" w:cs="Calibri"/>
          <w:kern w:val="0"/>
          <w:sz w:val="21"/>
          <w:szCs w:val="21"/>
          <w14:ligatures w14:val="none"/>
        </w:rPr>
        <w:t xml:space="preserve"> C11/26/CGRCE/17576</w:t>
      </w:r>
      <w:r w:rsidRPr="00EB03CC">
        <w:rPr>
          <w:rFonts w:ascii="Calibri" w:eastAsia="Times New Roman" w:hAnsi="Calibri" w:cs="Calibri"/>
          <w:kern w:val="0"/>
          <w:sz w:val="21"/>
          <w:szCs w:val="21"/>
          <w14:ligatures w14:val="none"/>
        </w:rPr>
        <w:br/>
      </w:r>
      <w:r w:rsidRPr="00EB03CC">
        <w:rPr>
          <w:rFonts w:ascii="Calibri" w:eastAsia="Times New Roman" w:hAnsi="Calibri" w:cs="Calibri"/>
          <w:b/>
          <w:bCs/>
          <w:kern w:val="0"/>
          <w:sz w:val="21"/>
          <w:szCs w:val="21"/>
          <w14:ligatures w14:val="none"/>
        </w:rPr>
        <w:t>Email:</w:t>
      </w:r>
      <w:r w:rsidRPr="00EB03CC">
        <w:rPr>
          <w:rFonts w:ascii="Calibri" w:eastAsia="Times New Roman" w:hAnsi="Calibri" w:cs="Calibri"/>
          <w:kern w:val="0"/>
          <w:sz w:val="21"/>
          <w:szCs w:val="21"/>
          <w14:ligatures w14:val="none"/>
        </w:rPr>
        <w:t xml:space="preserve"> sanyanabs16@gmail.com</w:t>
      </w:r>
      <w:r w:rsidRPr="00EB03CC">
        <w:rPr>
          <w:rFonts w:ascii="Calibri" w:eastAsia="Times New Roman" w:hAnsi="Calibri" w:cs="Calibri"/>
          <w:kern w:val="0"/>
          <w:sz w:val="21"/>
          <w:szCs w:val="21"/>
          <w14:ligatures w14:val="none"/>
        </w:rPr>
        <w:br/>
      </w:r>
      <w:r w:rsidRPr="00EB03CC">
        <w:rPr>
          <w:rFonts w:ascii="Calibri" w:eastAsia="Times New Roman" w:hAnsi="Calibri" w:cs="Calibri"/>
          <w:b/>
          <w:bCs/>
          <w:kern w:val="0"/>
          <w:sz w:val="21"/>
          <w:szCs w:val="21"/>
          <w14:ligatures w14:val="none"/>
        </w:rPr>
        <w:t>Cohort/Batch:</w:t>
      </w:r>
      <w:r w:rsidRPr="00EB03CC">
        <w:rPr>
          <w:rFonts w:ascii="Calibri" w:eastAsia="Times New Roman" w:hAnsi="Calibri" w:cs="Calibri"/>
          <w:kern w:val="0"/>
          <w:sz w:val="21"/>
          <w:szCs w:val="21"/>
          <w14:ligatures w14:val="none"/>
        </w:rPr>
        <w:t xml:space="preserve"> 11</w:t>
      </w:r>
      <w:r w:rsidRPr="00EB03CC">
        <w:rPr>
          <w:rFonts w:ascii="Calibri" w:eastAsia="Times New Roman" w:hAnsi="Calibri" w:cs="Calibri"/>
          <w:kern w:val="0"/>
          <w:sz w:val="21"/>
          <w:szCs w:val="21"/>
          <w14:ligatures w14:val="none"/>
        </w:rPr>
        <w:br/>
      </w:r>
      <w:r w:rsidRPr="00EB03CC">
        <w:rPr>
          <w:rFonts w:ascii="Calibri" w:eastAsia="Times New Roman" w:hAnsi="Calibri" w:cs="Calibri"/>
          <w:b/>
          <w:bCs/>
          <w:kern w:val="0"/>
          <w:sz w:val="21"/>
          <w:szCs w:val="21"/>
          <w14:ligatures w14:val="none"/>
        </w:rPr>
        <w:t>Linux Distribution Used:</w:t>
      </w:r>
      <w:r w:rsidRPr="00EB03CC">
        <w:rPr>
          <w:rFonts w:ascii="Calibri" w:eastAsia="Times New Roman" w:hAnsi="Calibri" w:cs="Calibri"/>
          <w:kern w:val="0"/>
          <w:sz w:val="21"/>
          <w:szCs w:val="21"/>
          <w14:ligatures w14:val="none"/>
        </w:rPr>
        <w:t xml:space="preserve"> </w:t>
      </w:r>
      <w:r w:rsidRPr="00EB03CC">
        <w:rPr>
          <w:rFonts w:ascii="Calibri" w:hAnsi="Calibri" w:cs="Calibri"/>
          <w:sz w:val="21"/>
          <w:szCs w:val="21"/>
        </w:rPr>
        <w:t>Week 2: Theory Based Assignment</w:t>
      </w:r>
      <w:r w:rsidRPr="00EB03CC">
        <w:rPr>
          <w:rFonts w:ascii="Calibri" w:eastAsia="Times New Roman" w:hAnsi="Calibri" w:cs="Calibri"/>
          <w:kern w:val="0"/>
          <w:sz w:val="21"/>
          <w:szCs w:val="21"/>
          <w14:ligatures w14:val="none"/>
        </w:rPr>
        <w:br/>
      </w:r>
      <w:r w:rsidRPr="00EB03CC">
        <w:rPr>
          <w:rFonts w:ascii="Calibri" w:eastAsia="Times New Roman" w:hAnsi="Calibri" w:cs="Calibri"/>
          <w:b/>
          <w:bCs/>
          <w:kern w:val="0"/>
          <w:sz w:val="21"/>
          <w:szCs w:val="21"/>
          <w14:ligatures w14:val="none"/>
        </w:rPr>
        <w:t>Date Submitted:</w:t>
      </w:r>
      <w:r w:rsidRPr="00EB03CC">
        <w:rPr>
          <w:rFonts w:ascii="Calibri" w:eastAsia="Times New Roman" w:hAnsi="Calibri" w:cs="Calibri"/>
          <w:kern w:val="0"/>
          <w:sz w:val="21"/>
          <w:szCs w:val="21"/>
          <w14:ligatures w14:val="none"/>
        </w:rPr>
        <w:t xml:space="preserve"> </w:t>
      </w:r>
    </w:p>
    <w:p w14:paraId="3B346E42" w14:textId="77777777" w:rsidR="00FD3D84" w:rsidRPr="00EB03CC" w:rsidRDefault="00FD3D84" w:rsidP="00C55934">
      <w:pPr>
        <w:spacing w:before="100" w:beforeAutospacing="1" w:after="100" w:afterAutospacing="1" w:line="240" w:lineRule="auto"/>
        <w:rPr>
          <w:rStyle w:val="normaltextrun"/>
          <w:rFonts w:ascii="Calibri" w:hAnsi="Calibri" w:cs="Calibri"/>
          <w:b/>
          <w:bCs/>
          <w:sz w:val="21"/>
          <w:szCs w:val="21"/>
          <w:shd w:val="clear" w:color="auto" w:fill="FFFFFF"/>
        </w:rPr>
      </w:pPr>
    </w:p>
    <w:p w14:paraId="63EAB0EC" w14:textId="1423C475" w:rsidR="0082209C" w:rsidRPr="00EB03CC" w:rsidRDefault="0082209C" w:rsidP="00C55934">
      <w:pPr>
        <w:spacing w:before="100" w:beforeAutospacing="1" w:after="100" w:afterAutospacing="1" w:line="240" w:lineRule="auto"/>
        <w:rPr>
          <w:rFonts w:ascii="Calibri" w:hAnsi="Calibri" w:cs="Calibri"/>
          <w:b/>
          <w:bCs/>
          <w:sz w:val="21"/>
          <w:szCs w:val="21"/>
        </w:rPr>
      </w:pPr>
      <w:r w:rsidRPr="00EB03CC">
        <w:rPr>
          <w:rStyle w:val="normaltextrun"/>
          <w:rFonts w:ascii="Calibri" w:hAnsi="Calibri" w:cs="Calibri"/>
          <w:b/>
          <w:bCs/>
          <w:sz w:val="21"/>
          <w:szCs w:val="21"/>
          <w:shd w:val="clear" w:color="auto" w:fill="FFFFFF"/>
        </w:rPr>
        <w:t xml:space="preserve">FOUNDATIONS OF INTEGRATED GRC </w:t>
      </w:r>
      <w:r w:rsidRPr="00EB03CC">
        <w:rPr>
          <w:rStyle w:val="normaltextrun"/>
          <w:rFonts w:ascii="Calibri" w:hAnsi="Calibri" w:cs="Calibri"/>
          <w:b/>
          <w:bCs/>
          <w:color w:val="FCFDFD"/>
          <w:sz w:val="21"/>
          <w:szCs w:val="21"/>
          <w:shd w:val="clear" w:color="auto" w:fill="FFFFFF"/>
        </w:rPr>
        <w:t xml:space="preserve"> </w:t>
      </w:r>
    </w:p>
    <w:p w14:paraId="1BC168D2" w14:textId="6D83DA01" w:rsidR="00C55934" w:rsidRPr="00EB03CC" w:rsidRDefault="00C55934" w:rsidP="00C55934">
      <w:pPr>
        <w:spacing w:before="100" w:beforeAutospacing="1" w:after="100" w:afterAutospacing="1" w:line="240" w:lineRule="auto"/>
        <w:rPr>
          <w:rFonts w:ascii="Calibri" w:hAnsi="Calibri" w:cs="Calibri"/>
          <w:b/>
          <w:bCs/>
          <w:sz w:val="21"/>
          <w:szCs w:val="21"/>
        </w:rPr>
      </w:pPr>
      <w:r w:rsidRPr="00EB03CC">
        <w:rPr>
          <w:rFonts w:ascii="Calibri" w:hAnsi="Calibri" w:cs="Calibri"/>
          <w:b/>
          <w:bCs/>
          <w:sz w:val="21"/>
          <w:szCs w:val="21"/>
        </w:rPr>
        <w:t xml:space="preserve">Question 1: GRC as One Integrated Capability </w:t>
      </w:r>
    </w:p>
    <w:p w14:paraId="7330142C" w14:textId="167B859C" w:rsidR="00C55934" w:rsidRPr="00EB03CC" w:rsidRDefault="00C55934" w:rsidP="00C55934">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Business Unit:</w:t>
      </w:r>
      <w:r w:rsidRPr="00EB03CC">
        <w:rPr>
          <w:rFonts w:ascii="Calibri" w:eastAsia="Times New Roman" w:hAnsi="Calibri" w:cs="Calibri"/>
          <w:kern w:val="0"/>
          <w:sz w:val="21"/>
          <w:szCs w:val="21"/>
          <w14:ligatures w14:val="none"/>
        </w:rPr>
        <w:t xml:space="preserve"> Infrastructure and Security Engineering</w:t>
      </w:r>
    </w:p>
    <w:p w14:paraId="1682DA8B" w14:textId="1527BFF7" w:rsidR="00C55934" w:rsidRPr="00EB03CC" w:rsidRDefault="00C55934" w:rsidP="00C55934">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Business Objective:</w:t>
      </w:r>
      <w:r w:rsidRPr="00EB03CC">
        <w:rPr>
          <w:rFonts w:ascii="Calibri" w:eastAsia="Times New Roman" w:hAnsi="Calibri" w:cs="Calibri"/>
          <w:kern w:val="0"/>
          <w:sz w:val="21"/>
          <w:szCs w:val="21"/>
          <w14:ligatures w14:val="none"/>
        </w:rPr>
        <w:br/>
        <w:t>To automate the lifecycle management of SSL/TLS certificates for customer facing applications, ensuring secure communication and continuous service availability.</w:t>
      </w:r>
    </w:p>
    <w:p w14:paraId="3506B208" w14:textId="77777777" w:rsidR="00C55934" w:rsidRPr="00EB03CC" w:rsidRDefault="00C55934" w:rsidP="00C55934">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Risk:</w:t>
      </w:r>
      <w:r w:rsidRPr="00EB03CC">
        <w:rPr>
          <w:rFonts w:ascii="Calibri" w:eastAsia="Times New Roman" w:hAnsi="Calibri" w:cs="Calibri"/>
          <w:kern w:val="0"/>
          <w:sz w:val="21"/>
          <w:szCs w:val="21"/>
          <w14:ligatures w14:val="none"/>
        </w:rPr>
        <w:br/>
        <w:t>Manual certificate management could result in expired certificates, causing application outages, service disruptions, loss of customer trust, and potential security vulnerabilities.</w:t>
      </w:r>
    </w:p>
    <w:p w14:paraId="5CE8A4D6" w14:textId="302F43D6" w:rsidR="00C55934" w:rsidRPr="00EB03CC" w:rsidRDefault="00C55934" w:rsidP="00C55934">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Governance Decision:</w:t>
      </w:r>
      <w:r w:rsidRPr="00EB03CC">
        <w:rPr>
          <w:rFonts w:ascii="Calibri" w:eastAsia="Times New Roman" w:hAnsi="Calibri" w:cs="Calibri"/>
          <w:kern w:val="0"/>
          <w:sz w:val="21"/>
          <w:szCs w:val="21"/>
          <w14:ligatures w14:val="none"/>
        </w:rPr>
        <w:br/>
        <w:t>Senior management approves the implementation of DigiCert Trust Lifecycle Manager and establishes a certificate governance policy that assigns clear ownership for certificate issuance, renewal, deployment and monitoring across IT Operations and Security teams.</w:t>
      </w:r>
    </w:p>
    <w:p w14:paraId="64088DF7" w14:textId="781F550B" w:rsidR="00C55934" w:rsidRPr="00EB03CC" w:rsidRDefault="00C55934" w:rsidP="00C55934">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Compliance Obligation:</w:t>
      </w:r>
      <w:r w:rsidRPr="00EB03CC">
        <w:rPr>
          <w:rFonts w:ascii="Calibri" w:eastAsia="Times New Roman" w:hAnsi="Calibri" w:cs="Calibri"/>
          <w:kern w:val="0"/>
          <w:sz w:val="21"/>
          <w:szCs w:val="21"/>
          <w14:ligatures w14:val="none"/>
        </w:rPr>
        <w:br/>
        <w:t xml:space="preserve">The </w:t>
      </w:r>
      <w:r w:rsidR="00EB03CC" w:rsidRPr="00EB03CC">
        <w:rPr>
          <w:rFonts w:ascii="Calibri" w:eastAsia="Times New Roman" w:hAnsi="Calibri" w:cs="Calibri"/>
          <w:kern w:val="0"/>
          <w:sz w:val="21"/>
          <w:szCs w:val="21"/>
          <w14:ligatures w14:val="none"/>
        </w:rPr>
        <w:t>organization</w:t>
      </w:r>
      <w:r w:rsidRPr="00EB03CC">
        <w:rPr>
          <w:rFonts w:ascii="Calibri" w:eastAsia="Times New Roman" w:hAnsi="Calibri" w:cs="Calibri"/>
          <w:kern w:val="0"/>
          <w:sz w:val="21"/>
          <w:szCs w:val="21"/>
          <w14:ligatures w14:val="none"/>
        </w:rPr>
        <w:t xml:space="preserve"> must comply with ISO/IEC 27001 information security requirements, internal security policies, and applicable data protection regulations by ensuring data is encrypted in transit through valid digital certificates.</w:t>
      </w:r>
    </w:p>
    <w:p w14:paraId="373B2FF9" w14:textId="77777777" w:rsidR="00C55934" w:rsidRPr="00EB03CC" w:rsidRDefault="00C55934" w:rsidP="00C55934">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Integrated GRC Outcome:</w:t>
      </w:r>
    </w:p>
    <w:p w14:paraId="74AC24DE" w14:textId="77777777" w:rsidR="00C55934" w:rsidRPr="00EB03CC" w:rsidRDefault="00C55934" w:rsidP="00C55934">
      <w:pPr>
        <w:numPr>
          <w:ilvl w:val="0"/>
          <w:numId w:val="1"/>
        </w:num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Governance</w:t>
      </w:r>
      <w:r w:rsidRPr="00EB03CC">
        <w:rPr>
          <w:rFonts w:ascii="Calibri" w:eastAsia="Times New Roman" w:hAnsi="Calibri" w:cs="Calibri"/>
          <w:kern w:val="0"/>
          <w:sz w:val="21"/>
          <w:szCs w:val="21"/>
          <w14:ligatures w14:val="none"/>
        </w:rPr>
        <w:t xml:space="preserve"> defines the certificate management policy, approves investment in TLM, and assigns accountability to designated control owners. </w:t>
      </w:r>
    </w:p>
    <w:p w14:paraId="0B0F4872" w14:textId="77777777" w:rsidR="00C55934" w:rsidRPr="00EB03CC" w:rsidRDefault="00C55934" w:rsidP="00C55934">
      <w:pPr>
        <w:numPr>
          <w:ilvl w:val="0"/>
          <w:numId w:val="1"/>
        </w:num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Risk Management</w:t>
      </w:r>
      <w:r w:rsidRPr="00EB03CC">
        <w:rPr>
          <w:rFonts w:ascii="Calibri" w:eastAsia="Times New Roman" w:hAnsi="Calibri" w:cs="Calibri"/>
          <w:kern w:val="0"/>
          <w:sz w:val="21"/>
          <w:szCs w:val="21"/>
          <w14:ligatures w14:val="none"/>
        </w:rPr>
        <w:t xml:space="preserve"> identifies certificate expiration as an operational and cybersecurity risk, assesses its business impact, and recommends automated renewal processes to reduce the likelihood of service disruption. </w:t>
      </w:r>
    </w:p>
    <w:p w14:paraId="645AF130" w14:textId="78E706F6" w:rsidR="00C55934" w:rsidRPr="00EB03CC" w:rsidRDefault="00C55934" w:rsidP="00C55934">
      <w:pPr>
        <w:numPr>
          <w:ilvl w:val="0"/>
          <w:numId w:val="1"/>
        </w:num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Compliance</w:t>
      </w:r>
      <w:r w:rsidRPr="00EB03CC">
        <w:rPr>
          <w:rFonts w:ascii="Calibri" w:eastAsia="Times New Roman" w:hAnsi="Calibri" w:cs="Calibri"/>
          <w:kern w:val="0"/>
          <w:sz w:val="21"/>
          <w:szCs w:val="21"/>
          <w14:ligatures w14:val="none"/>
        </w:rPr>
        <w:t xml:space="preserve"> verifies that certificate lifecycle processes meet regulatory and </w:t>
      </w:r>
      <w:r w:rsidR="00EB03CC" w:rsidRPr="00EB03CC">
        <w:rPr>
          <w:rFonts w:ascii="Calibri" w:eastAsia="Times New Roman" w:hAnsi="Calibri" w:cs="Calibri"/>
          <w:kern w:val="0"/>
          <w:sz w:val="21"/>
          <w:szCs w:val="21"/>
          <w14:ligatures w14:val="none"/>
        </w:rPr>
        <w:t>organizational</w:t>
      </w:r>
      <w:r w:rsidRPr="00EB03CC">
        <w:rPr>
          <w:rFonts w:ascii="Calibri" w:eastAsia="Times New Roman" w:hAnsi="Calibri" w:cs="Calibri"/>
          <w:kern w:val="0"/>
          <w:sz w:val="21"/>
          <w:szCs w:val="21"/>
          <w14:ligatures w14:val="none"/>
        </w:rPr>
        <w:t xml:space="preserve"> requirements, while maintaining evidence such as certificate inventories, renewal logs, and deployment records for audit purposes. </w:t>
      </w:r>
    </w:p>
    <w:p w14:paraId="0FE3ABFC" w14:textId="59475890" w:rsidR="00C55934" w:rsidRPr="00EB03CC" w:rsidRDefault="00C55934" w:rsidP="00C55934">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lastRenderedPageBreak/>
        <w:t xml:space="preserve">By integrating these three disciplines, the </w:t>
      </w:r>
      <w:r w:rsidR="00EB03CC" w:rsidRPr="00EB03CC">
        <w:rPr>
          <w:rFonts w:ascii="Calibri" w:eastAsia="Times New Roman" w:hAnsi="Calibri" w:cs="Calibri"/>
          <w:kern w:val="0"/>
          <w:sz w:val="21"/>
          <w:szCs w:val="21"/>
          <w14:ligatures w14:val="none"/>
        </w:rPr>
        <w:t>organization</w:t>
      </w:r>
      <w:r w:rsidRPr="00EB03CC">
        <w:rPr>
          <w:rFonts w:ascii="Calibri" w:eastAsia="Times New Roman" w:hAnsi="Calibri" w:cs="Calibri"/>
          <w:kern w:val="0"/>
          <w:sz w:val="21"/>
          <w:szCs w:val="21"/>
          <w14:ligatures w14:val="none"/>
        </w:rPr>
        <w:t xml:space="preserve"> avoids duplicated monitoring activities, clarifies ownership of certificate management responsibilities, and strengthens operational resilience. Rather than Governance, Risk and Compliance operating independently, they collectively support the business objective of delivering secure, reliable and compliant digital services.</w:t>
      </w:r>
    </w:p>
    <w:p w14:paraId="0A29F933" w14:textId="77777777" w:rsidR="00A7258C" w:rsidRPr="00EB03CC" w:rsidRDefault="00A7258C">
      <w:pPr>
        <w:rPr>
          <w:rFonts w:ascii="Calibri" w:hAnsi="Calibri" w:cs="Calibri"/>
          <w:sz w:val="21"/>
          <w:szCs w:val="21"/>
        </w:rPr>
      </w:pPr>
    </w:p>
    <w:p w14:paraId="588AC699" w14:textId="77777777" w:rsidR="00C55934" w:rsidRPr="00EB03CC" w:rsidRDefault="00C55934">
      <w:pPr>
        <w:rPr>
          <w:rFonts w:ascii="Calibri" w:hAnsi="Calibri" w:cs="Calibri"/>
          <w:sz w:val="21"/>
          <w:szCs w:val="21"/>
        </w:rPr>
      </w:pPr>
    </w:p>
    <w:p w14:paraId="7B05F3AD" w14:textId="77777777" w:rsidR="00C55934" w:rsidRPr="00EB03CC" w:rsidRDefault="00C55934">
      <w:pPr>
        <w:rPr>
          <w:rFonts w:ascii="Calibri" w:hAnsi="Calibri" w:cs="Calibri"/>
          <w:sz w:val="21"/>
          <w:szCs w:val="21"/>
        </w:rPr>
      </w:pPr>
    </w:p>
    <w:p w14:paraId="09709D18" w14:textId="77777777" w:rsidR="00C55934" w:rsidRPr="00EB03CC" w:rsidRDefault="00C55934">
      <w:pPr>
        <w:rPr>
          <w:rFonts w:ascii="Calibri" w:hAnsi="Calibri" w:cs="Calibri"/>
          <w:sz w:val="21"/>
          <w:szCs w:val="21"/>
        </w:rPr>
      </w:pPr>
    </w:p>
    <w:p w14:paraId="10A5F74A" w14:textId="77777777" w:rsidR="0082209C" w:rsidRPr="00EB03CC" w:rsidRDefault="0082209C" w:rsidP="0082209C">
      <w:pPr>
        <w:spacing w:before="100" w:beforeAutospacing="1" w:after="100" w:afterAutospacing="1" w:line="240" w:lineRule="auto"/>
        <w:outlineLvl w:val="0"/>
        <w:rPr>
          <w:rFonts w:ascii="Calibri" w:eastAsia="Times New Roman" w:hAnsi="Calibri" w:cs="Calibri"/>
          <w:b/>
          <w:bCs/>
          <w:kern w:val="36"/>
          <w:sz w:val="21"/>
          <w:szCs w:val="21"/>
          <w14:ligatures w14:val="none"/>
        </w:rPr>
      </w:pPr>
      <w:r w:rsidRPr="00EB03CC">
        <w:rPr>
          <w:rFonts w:ascii="Calibri" w:eastAsia="Times New Roman" w:hAnsi="Calibri" w:cs="Calibri"/>
          <w:b/>
          <w:bCs/>
          <w:kern w:val="36"/>
          <w:sz w:val="21"/>
          <w:szCs w:val="21"/>
          <w14:ligatures w14:val="none"/>
        </w:rPr>
        <w:t>Question 2: Applying the OCEG Capability Model to a Cloud-Hosted Customer Portal</w:t>
      </w:r>
    </w:p>
    <w:p w14:paraId="4A0C7E04" w14:textId="78BD0920" w:rsidR="0082209C" w:rsidRPr="00EB03CC" w:rsidRDefault="0082209C" w:rsidP="0082209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When an </w:t>
      </w:r>
      <w:r w:rsidR="00EB03CC" w:rsidRPr="00EB03CC">
        <w:rPr>
          <w:rFonts w:ascii="Calibri" w:eastAsia="Times New Roman" w:hAnsi="Calibri" w:cs="Calibri"/>
          <w:kern w:val="0"/>
          <w:sz w:val="21"/>
          <w:szCs w:val="21"/>
          <w14:ligatures w14:val="none"/>
        </w:rPr>
        <w:t>organization</w:t>
      </w:r>
      <w:r w:rsidRPr="00EB03CC">
        <w:rPr>
          <w:rFonts w:ascii="Calibri" w:eastAsia="Times New Roman" w:hAnsi="Calibri" w:cs="Calibri"/>
          <w:kern w:val="0"/>
          <w:sz w:val="21"/>
          <w:szCs w:val="21"/>
          <w14:ligatures w14:val="none"/>
        </w:rPr>
        <w:t xml:space="preserve"> launches a cloud-hosted customer portal, success depends on more than just delivering the technology. Management must ensure that business objectives are understood, risks are identified and managed, and regulatory obligations are considered throughout the project. The OCEG Capability Model supports this by providing a continuous cycle of Learn, Align, Perform and Review, allowing </w:t>
      </w:r>
      <w:r w:rsidR="00EB03CC" w:rsidRPr="00EB03CC">
        <w:rPr>
          <w:rFonts w:ascii="Calibri" w:eastAsia="Times New Roman" w:hAnsi="Calibri" w:cs="Calibri"/>
          <w:kern w:val="0"/>
          <w:sz w:val="21"/>
          <w:szCs w:val="21"/>
          <w14:ligatures w14:val="none"/>
        </w:rPr>
        <w:t>organizations</w:t>
      </w:r>
      <w:r w:rsidRPr="00EB03CC">
        <w:rPr>
          <w:rFonts w:ascii="Calibri" w:eastAsia="Times New Roman" w:hAnsi="Calibri" w:cs="Calibri"/>
          <w:kern w:val="0"/>
          <w:sz w:val="21"/>
          <w:szCs w:val="21"/>
          <w14:ligatures w14:val="none"/>
        </w:rPr>
        <w:t xml:space="preserve"> to improve governance, risk management and compliance over time.</w:t>
      </w:r>
    </w:p>
    <w:p w14:paraId="5C4B38C4" w14:textId="77777777" w:rsidR="0082209C" w:rsidRPr="00EB03CC" w:rsidRDefault="0082209C" w:rsidP="0082209C">
      <w:pPr>
        <w:spacing w:before="100" w:beforeAutospacing="1" w:after="100" w:afterAutospacing="1" w:line="240" w:lineRule="auto"/>
        <w:outlineLvl w:val="2"/>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Table 1: Applying the OCEG Capability Model</w:t>
      </w:r>
    </w:p>
    <w:tbl>
      <w:tblPr>
        <w:tblW w:w="98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2"/>
        <w:gridCol w:w="3711"/>
        <w:gridCol w:w="2672"/>
        <w:gridCol w:w="2610"/>
      </w:tblGrid>
      <w:tr w:rsidR="0082209C" w:rsidRPr="00EB03CC" w14:paraId="0E413F19" w14:textId="77777777" w:rsidTr="00451978">
        <w:trPr>
          <w:tblHeader/>
          <w:tblCellSpacing w:w="15" w:type="dxa"/>
        </w:trPr>
        <w:tc>
          <w:tcPr>
            <w:tcW w:w="0" w:type="auto"/>
            <w:vAlign w:val="center"/>
            <w:hideMark/>
          </w:tcPr>
          <w:p w14:paraId="4CCDA4D3" w14:textId="77777777" w:rsidR="0082209C" w:rsidRPr="00EB03CC" w:rsidRDefault="0082209C" w:rsidP="0082209C">
            <w:pPr>
              <w:spacing w:after="0" w:line="240" w:lineRule="auto"/>
              <w:jc w:val="center"/>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Phase</w:t>
            </w:r>
          </w:p>
        </w:tc>
        <w:tc>
          <w:tcPr>
            <w:tcW w:w="0" w:type="auto"/>
            <w:vAlign w:val="center"/>
            <w:hideMark/>
          </w:tcPr>
          <w:p w14:paraId="08390288" w14:textId="77777777" w:rsidR="0082209C" w:rsidRPr="00EB03CC" w:rsidRDefault="0082209C" w:rsidP="0082209C">
            <w:pPr>
              <w:spacing w:after="0" w:line="240" w:lineRule="auto"/>
              <w:jc w:val="center"/>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Questions Management Should Ask</w:t>
            </w:r>
          </w:p>
        </w:tc>
        <w:tc>
          <w:tcPr>
            <w:tcW w:w="2642" w:type="dxa"/>
            <w:vAlign w:val="center"/>
            <w:hideMark/>
          </w:tcPr>
          <w:p w14:paraId="0E22C0A6" w14:textId="77777777" w:rsidR="0082209C" w:rsidRPr="00EB03CC" w:rsidRDefault="0082209C" w:rsidP="0082209C">
            <w:pPr>
              <w:spacing w:after="0" w:line="240" w:lineRule="auto"/>
              <w:jc w:val="center"/>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Key Artefacts</w:t>
            </w:r>
          </w:p>
        </w:tc>
        <w:tc>
          <w:tcPr>
            <w:tcW w:w="2565" w:type="dxa"/>
            <w:vAlign w:val="center"/>
            <w:hideMark/>
          </w:tcPr>
          <w:p w14:paraId="66455E58" w14:textId="77777777" w:rsidR="0082209C" w:rsidRPr="00EB03CC" w:rsidRDefault="0082209C" w:rsidP="0082209C">
            <w:pPr>
              <w:spacing w:after="0" w:line="240" w:lineRule="auto"/>
              <w:jc w:val="center"/>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Primary Responsibility</w:t>
            </w:r>
          </w:p>
        </w:tc>
      </w:tr>
      <w:tr w:rsidR="0082209C" w:rsidRPr="00EB03CC" w14:paraId="1C46F673" w14:textId="77777777" w:rsidTr="00451978">
        <w:trPr>
          <w:tblCellSpacing w:w="15" w:type="dxa"/>
        </w:trPr>
        <w:tc>
          <w:tcPr>
            <w:tcW w:w="0" w:type="auto"/>
            <w:vAlign w:val="center"/>
            <w:hideMark/>
          </w:tcPr>
          <w:p w14:paraId="781E4F7C" w14:textId="77777777" w:rsidR="0082209C" w:rsidRPr="00EB03CC" w:rsidRDefault="0082209C" w:rsidP="0082209C">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Learn</w:t>
            </w:r>
          </w:p>
        </w:tc>
        <w:tc>
          <w:tcPr>
            <w:tcW w:w="0" w:type="auto"/>
            <w:vAlign w:val="center"/>
            <w:hideMark/>
          </w:tcPr>
          <w:p w14:paraId="3DDC4B19" w14:textId="77777777" w:rsidR="0082209C" w:rsidRPr="00EB03CC" w:rsidRDefault="0082209C" w:rsidP="0082209C">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Why is the portal being developed? What value will it deliver? What cyber risks, privacy requirements and business risks should be considered before development begins?</w:t>
            </w:r>
          </w:p>
        </w:tc>
        <w:tc>
          <w:tcPr>
            <w:tcW w:w="2642" w:type="dxa"/>
            <w:vAlign w:val="center"/>
            <w:hideMark/>
          </w:tcPr>
          <w:p w14:paraId="4739CC15" w14:textId="77777777" w:rsidR="0082209C" w:rsidRPr="00EB03CC" w:rsidRDefault="0082209C" w:rsidP="0082209C">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Business case, stakeholder requirements, initial risk assessment, regulatory requirements list</w:t>
            </w:r>
          </w:p>
        </w:tc>
        <w:tc>
          <w:tcPr>
            <w:tcW w:w="2565" w:type="dxa"/>
            <w:vAlign w:val="center"/>
            <w:hideMark/>
          </w:tcPr>
          <w:p w14:paraId="0F571ED8" w14:textId="77777777" w:rsidR="0082209C" w:rsidRPr="00EB03CC" w:rsidRDefault="0082209C" w:rsidP="0082209C">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Business Unit Manager with support from the Risk and Information Security teams</w:t>
            </w:r>
          </w:p>
        </w:tc>
      </w:tr>
      <w:tr w:rsidR="0082209C" w:rsidRPr="00EB03CC" w14:paraId="79A3FDE9" w14:textId="77777777" w:rsidTr="00451978">
        <w:trPr>
          <w:tblCellSpacing w:w="15" w:type="dxa"/>
        </w:trPr>
        <w:tc>
          <w:tcPr>
            <w:tcW w:w="0" w:type="auto"/>
            <w:vAlign w:val="center"/>
            <w:hideMark/>
          </w:tcPr>
          <w:p w14:paraId="6969532C" w14:textId="77777777" w:rsidR="0082209C" w:rsidRPr="00EB03CC" w:rsidRDefault="0082209C" w:rsidP="0082209C">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Align</w:t>
            </w:r>
          </w:p>
        </w:tc>
        <w:tc>
          <w:tcPr>
            <w:tcW w:w="0" w:type="auto"/>
            <w:vAlign w:val="center"/>
            <w:hideMark/>
          </w:tcPr>
          <w:p w14:paraId="08A89E12" w14:textId="77777777" w:rsidR="0082209C" w:rsidRPr="00EB03CC" w:rsidRDefault="0082209C" w:rsidP="0082209C">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Are the project objectives aligned with business strategy? Have responsibilities been assigned? Are appropriate security controls, policies and resources in place before implementation?</w:t>
            </w:r>
          </w:p>
        </w:tc>
        <w:tc>
          <w:tcPr>
            <w:tcW w:w="2642" w:type="dxa"/>
            <w:vAlign w:val="center"/>
            <w:hideMark/>
          </w:tcPr>
          <w:p w14:paraId="47C4DF45" w14:textId="77777777" w:rsidR="0082209C" w:rsidRPr="00EB03CC" w:rsidRDefault="0082209C" w:rsidP="0082209C">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Project charter, risk register, security policies, project plan, RACI matrix</w:t>
            </w:r>
          </w:p>
        </w:tc>
        <w:tc>
          <w:tcPr>
            <w:tcW w:w="2565" w:type="dxa"/>
            <w:vAlign w:val="center"/>
            <w:hideMark/>
          </w:tcPr>
          <w:p w14:paraId="66B645E3" w14:textId="77777777" w:rsidR="0082209C" w:rsidRPr="00EB03CC" w:rsidRDefault="0082209C" w:rsidP="0082209C">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Project Manager, Executive Sponsor and Governance Committee</w:t>
            </w:r>
          </w:p>
        </w:tc>
      </w:tr>
      <w:tr w:rsidR="0082209C" w:rsidRPr="00EB03CC" w14:paraId="7C130F2C" w14:textId="77777777" w:rsidTr="00451978">
        <w:trPr>
          <w:tblCellSpacing w:w="15" w:type="dxa"/>
        </w:trPr>
        <w:tc>
          <w:tcPr>
            <w:tcW w:w="0" w:type="auto"/>
            <w:vAlign w:val="center"/>
            <w:hideMark/>
          </w:tcPr>
          <w:p w14:paraId="2350DBCB" w14:textId="77777777" w:rsidR="0082209C" w:rsidRPr="00EB03CC" w:rsidRDefault="0082209C" w:rsidP="0082209C">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Perform</w:t>
            </w:r>
          </w:p>
        </w:tc>
        <w:tc>
          <w:tcPr>
            <w:tcW w:w="0" w:type="auto"/>
            <w:vAlign w:val="center"/>
            <w:hideMark/>
          </w:tcPr>
          <w:p w14:paraId="700CAFDE" w14:textId="77777777" w:rsidR="0082209C" w:rsidRPr="00EB03CC" w:rsidRDefault="0082209C" w:rsidP="0082209C">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Are the agreed controls being implemented correctly? Has the portal been tested for security, functionality and compliance before it goes live?</w:t>
            </w:r>
          </w:p>
        </w:tc>
        <w:tc>
          <w:tcPr>
            <w:tcW w:w="2642" w:type="dxa"/>
            <w:vAlign w:val="center"/>
            <w:hideMark/>
          </w:tcPr>
          <w:p w14:paraId="31C3CF89" w14:textId="77777777" w:rsidR="0082209C" w:rsidRPr="00EB03CC" w:rsidRDefault="0082209C" w:rsidP="0082209C">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Test reports, vulnerability assessment results, deployment checklist, user training records and operational procedures</w:t>
            </w:r>
          </w:p>
        </w:tc>
        <w:tc>
          <w:tcPr>
            <w:tcW w:w="2565" w:type="dxa"/>
            <w:vAlign w:val="center"/>
            <w:hideMark/>
          </w:tcPr>
          <w:p w14:paraId="3FFD8639" w14:textId="77777777" w:rsidR="0082209C" w:rsidRPr="00EB03CC" w:rsidRDefault="0082209C" w:rsidP="0082209C">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Development Team, IT Operations, Security Engineers and Business Unit Manager</w:t>
            </w:r>
          </w:p>
        </w:tc>
      </w:tr>
      <w:tr w:rsidR="0082209C" w:rsidRPr="00EB03CC" w14:paraId="308FC852" w14:textId="77777777" w:rsidTr="00451978">
        <w:trPr>
          <w:tblCellSpacing w:w="15" w:type="dxa"/>
        </w:trPr>
        <w:tc>
          <w:tcPr>
            <w:tcW w:w="0" w:type="auto"/>
            <w:vAlign w:val="center"/>
            <w:hideMark/>
          </w:tcPr>
          <w:p w14:paraId="0239FC5B" w14:textId="77777777" w:rsidR="0082209C" w:rsidRPr="00EB03CC" w:rsidRDefault="0082209C" w:rsidP="0082209C">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Review</w:t>
            </w:r>
          </w:p>
        </w:tc>
        <w:tc>
          <w:tcPr>
            <w:tcW w:w="0" w:type="auto"/>
            <w:vAlign w:val="center"/>
            <w:hideMark/>
          </w:tcPr>
          <w:p w14:paraId="0592DBCB" w14:textId="77777777" w:rsidR="0082209C" w:rsidRPr="00EB03CC" w:rsidRDefault="0082209C" w:rsidP="0082209C">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Did the portal meet business expectations? Were identified risks effectively managed? Are there audit findings, incidents or customer feedback that require improvements?</w:t>
            </w:r>
          </w:p>
        </w:tc>
        <w:tc>
          <w:tcPr>
            <w:tcW w:w="2642" w:type="dxa"/>
            <w:vAlign w:val="center"/>
            <w:hideMark/>
          </w:tcPr>
          <w:p w14:paraId="6E06BF15" w14:textId="77777777" w:rsidR="0082209C" w:rsidRPr="00EB03CC" w:rsidRDefault="0082209C" w:rsidP="0082209C">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Internal audit report, KPI dashboard, management review minutes, lessons learned register and corrective action plan</w:t>
            </w:r>
          </w:p>
        </w:tc>
        <w:tc>
          <w:tcPr>
            <w:tcW w:w="2565" w:type="dxa"/>
            <w:vAlign w:val="center"/>
            <w:hideMark/>
          </w:tcPr>
          <w:p w14:paraId="13DD6C48" w14:textId="77777777" w:rsidR="0082209C" w:rsidRPr="00EB03CC" w:rsidRDefault="0082209C" w:rsidP="0082209C">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Internal Audit, Compliance Manager and Senior Management</w:t>
            </w:r>
          </w:p>
        </w:tc>
      </w:tr>
    </w:tbl>
    <w:p w14:paraId="1704B42E" w14:textId="77777777" w:rsidR="0082209C" w:rsidRPr="00EB03CC" w:rsidRDefault="0082209C" w:rsidP="0082209C">
      <w:pPr>
        <w:spacing w:before="100" w:beforeAutospacing="1" w:after="100" w:afterAutospacing="1" w:line="240" w:lineRule="auto"/>
        <w:outlineLvl w:val="2"/>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Continuous Improvement</w:t>
      </w:r>
    </w:p>
    <w:p w14:paraId="2A80F9A4" w14:textId="25836176" w:rsidR="0082209C" w:rsidRPr="00EB03CC" w:rsidRDefault="0082209C" w:rsidP="0082209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lastRenderedPageBreak/>
        <w:t xml:space="preserve">The OCEG Capability Model is designed as a continuous improvement cycle rather than a process with a fixed end. The Review phase provides valuable information that feeds back into the next Learn phase. For example, if the review identifies delays in applying security patches or weaknesses in access management, these findings become inputs for future projects. Management may update risk assessments, revise security policies, improve employee training or introduce additional controls before the next system implementation. This continuous feedback loop enables the </w:t>
      </w:r>
      <w:r w:rsidR="00EB03CC" w:rsidRPr="00EB03CC">
        <w:rPr>
          <w:rFonts w:ascii="Calibri" w:eastAsia="Times New Roman" w:hAnsi="Calibri" w:cs="Calibri"/>
          <w:kern w:val="0"/>
          <w:sz w:val="21"/>
          <w:szCs w:val="21"/>
          <w14:ligatures w14:val="none"/>
        </w:rPr>
        <w:t>organization</w:t>
      </w:r>
      <w:r w:rsidRPr="00EB03CC">
        <w:rPr>
          <w:rFonts w:ascii="Calibri" w:eastAsia="Times New Roman" w:hAnsi="Calibri" w:cs="Calibri"/>
          <w:kern w:val="0"/>
          <w:sz w:val="21"/>
          <w:szCs w:val="21"/>
          <w14:ligatures w14:val="none"/>
        </w:rPr>
        <w:t xml:space="preserve"> to strengthen its governance processes, respond to emerging risks and improve overall business performance.</w:t>
      </w:r>
    </w:p>
    <w:p w14:paraId="5A06A6DC" w14:textId="0F6E0E6B" w:rsidR="00C55934" w:rsidRPr="00EB03CC" w:rsidRDefault="00C55934">
      <w:pPr>
        <w:rPr>
          <w:rFonts w:ascii="Calibri" w:hAnsi="Calibri" w:cs="Calibri"/>
          <w:sz w:val="21"/>
          <w:szCs w:val="21"/>
        </w:rPr>
      </w:pPr>
    </w:p>
    <w:p w14:paraId="0AC76C27" w14:textId="77777777" w:rsidR="00451978" w:rsidRPr="00EB03CC" w:rsidRDefault="00451978">
      <w:pPr>
        <w:rPr>
          <w:rFonts w:ascii="Calibri" w:hAnsi="Calibri" w:cs="Calibri"/>
          <w:sz w:val="21"/>
          <w:szCs w:val="21"/>
        </w:rPr>
      </w:pPr>
    </w:p>
    <w:p w14:paraId="391E49F3" w14:textId="77777777" w:rsidR="00451978" w:rsidRPr="00EB03CC" w:rsidRDefault="00451978" w:rsidP="00451978">
      <w:pPr>
        <w:spacing w:before="100" w:beforeAutospacing="1" w:after="100" w:afterAutospacing="1" w:line="240" w:lineRule="auto"/>
        <w:outlineLvl w:val="0"/>
        <w:rPr>
          <w:rFonts w:ascii="Calibri" w:eastAsia="Times New Roman" w:hAnsi="Calibri" w:cs="Calibri"/>
          <w:b/>
          <w:bCs/>
          <w:kern w:val="36"/>
          <w:sz w:val="21"/>
          <w:szCs w:val="21"/>
          <w14:ligatures w14:val="none"/>
        </w:rPr>
      </w:pPr>
      <w:r w:rsidRPr="00EB03CC">
        <w:rPr>
          <w:rFonts w:ascii="Calibri" w:eastAsia="Times New Roman" w:hAnsi="Calibri" w:cs="Calibri"/>
          <w:b/>
          <w:bCs/>
          <w:kern w:val="36"/>
          <w:sz w:val="21"/>
          <w:szCs w:val="21"/>
          <w14:ligatures w14:val="none"/>
        </w:rPr>
        <w:t>Question 3: The Three Lines and Accountability</w:t>
      </w:r>
    </w:p>
    <w:p w14:paraId="5A07B6FC" w14:textId="4C1A3EB7" w:rsidR="00451978" w:rsidRPr="00EB03CC" w:rsidRDefault="00451978" w:rsidP="00451978">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The fact that a former employee's account remained active for 45 days after leaving the </w:t>
      </w:r>
      <w:r w:rsidR="00EB03CC" w:rsidRPr="00EB03CC">
        <w:rPr>
          <w:rFonts w:ascii="Calibri" w:eastAsia="Times New Roman" w:hAnsi="Calibri" w:cs="Calibri"/>
          <w:kern w:val="0"/>
          <w:sz w:val="21"/>
          <w:szCs w:val="21"/>
          <w14:ligatures w14:val="none"/>
        </w:rPr>
        <w:t>organization</w:t>
      </w:r>
      <w:r w:rsidRPr="00EB03CC">
        <w:rPr>
          <w:rFonts w:ascii="Calibri" w:eastAsia="Times New Roman" w:hAnsi="Calibri" w:cs="Calibri"/>
          <w:kern w:val="0"/>
          <w:sz w:val="21"/>
          <w:szCs w:val="21"/>
          <w14:ligatures w14:val="none"/>
        </w:rPr>
        <w:t xml:space="preserve"> indicates that the employee offboarding process was not carried out effectively. This creates unnecessary security risks because a former employee could still gain access to </w:t>
      </w:r>
      <w:r w:rsidR="00EB03CC" w:rsidRPr="00EB03CC">
        <w:rPr>
          <w:rFonts w:ascii="Calibri" w:eastAsia="Times New Roman" w:hAnsi="Calibri" w:cs="Calibri"/>
          <w:kern w:val="0"/>
          <w:sz w:val="21"/>
          <w:szCs w:val="21"/>
          <w14:ligatures w14:val="none"/>
        </w:rPr>
        <w:t>organizational</w:t>
      </w:r>
      <w:r w:rsidRPr="00EB03CC">
        <w:rPr>
          <w:rFonts w:ascii="Calibri" w:eastAsia="Times New Roman" w:hAnsi="Calibri" w:cs="Calibri"/>
          <w:kern w:val="0"/>
          <w:sz w:val="21"/>
          <w:szCs w:val="21"/>
          <w14:ligatures w14:val="none"/>
        </w:rPr>
        <w:t xml:space="preserve"> systems or sensitive information. Looking at this incident through the Three Lines Model makes it easier to understand where responsibilities lie and how accountability should be shared across the </w:t>
      </w:r>
      <w:r w:rsidR="00EB03CC" w:rsidRPr="00EB03CC">
        <w:rPr>
          <w:rFonts w:ascii="Calibri" w:eastAsia="Times New Roman" w:hAnsi="Calibri" w:cs="Calibri"/>
          <w:kern w:val="0"/>
          <w:sz w:val="21"/>
          <w:szCs w:val="21"/>
          <w14:ligatures w14:val="none"/>
        </w:rPr>
        <w:t>organization</w:t>
      </w:r>
      <w:r w:rsidRPr="00EB03CC">
        <w:rPr>
          <w:rFonts w:ascii="Calibri" w:eastAsia="Times New Roman" w:hAnsi="Calibri" w:cs="Calibri"/>
          <w:kern w:val="0"/>
          <w:sz w:val="21"/>
          <w:szCs w:val="21"/>
          <w14:ligatures w14:val="none"/>
        </w:rPr>
        <w:t>.</w:t>
      </w:r>
    </w:p>
    <w:p w14:paraId="7503B4DD" w14:textId="77777777" w:rsidR="00451978" w:rsidRPr="00EB03CC" w:rsidRDefault="00451978" w:rsidP="00451978">
      <w:pPr>
        <w:spacing w:before="100" w:beforeAutospacing="1" w:after="100" w:afterAutospacing="1" w:line="240" w:lineRule="auto"/>
        <w:outlineLvl w:val="2"/>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Table 2: Responsibilities Before, During and After the Control Failure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2568"/>
        <w:gridCol w:w="2542"/>
        <w:gridCol w:w="2715"/>
      </w:tblGrid>
      <w:tr w:rsidR="00451978" w:rsidRPr="00EB03CC" w14:paraId="5842B700" w14:textId="77777777" w:rsidTr="00EB03CC">
        <w:trPr>
          <w:tblHeader/>
          <w:tblCellSpacing w:w="15" w:type="dxa"/>
        </w:trPr>
        <w:tc>
          <w:tcPr>
            <w:tcW w:w="1480" w:type="dxa"/>
            <w:vAlign w:val="center"/>
            <w:hideMark/>
          </w:tcPr>
          <w:p w14:paraId="2A3E81E4" w14:textId="5DD4E696" w:rsidR="00451978" w:rsidRPr="00EB03CC" w:rsidRDefault="00451978" w:rsidP="00451978">
            <w:pPr>
              <w:spacing w:after="0" w:line="240" w:lineRule="auto"/>
              <w:jc w:val="center"/>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 xml:space="preserve">Line of </w:t>
            </w:r>
            <w:r w:rsidR="00EB03CC" w:rsidRPr="00EB03CC">
              <w:rPr>
                <w:rFonts w:ascii="Calibri" w:eastAsia="Times New Roman" w:hAnsi="Calibri" w:cs="Calibri"/>
                <w:b/>
                <w:bCs/>
                <w:kern w:val="0"/>
                <w:sz w:val="21"/>
                <w:szCs w:val="21"/>
                <w14:ligatures w14:val="none"/>
              </w:rPr>
              <w:t>Defense</w:t>
            </w:r>
          </w:p>
        </w:tc>
        <w:tc>
          <w:tcPr>
            <w:tcW w:w="2538" w:type="dxa"/>
            <w:vAlign w:val="center"/>
            <w:hideMark/>
          </w:tcPr>
          <w:p w14:paraId="3B09C831" w14:textId="77777777" w:rsidR="00451978" w:rsidRPr="00EB03CC" w:rsidRDefault="00451978" w:rsidP="00451978">
            <w:pPr>
              <w:spacing w:after="0" w:line="240" w:lineRule="auto"/>
              <w:jc w:val="center"/>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Before the Incident</w:t>
            </w:r>
          </w:p>
        </w:tc>
        <w:tc>
          <w:tcPr>
            <w:tcW w:w="0" w:type="auto"/>
            <w:vAlign w:val="center"/>
            <w:hideMark/>
          </w:tcPr>
          <w:p w14:paraId="0151DAC5" w14:textId="77777777" w:rsidR="00451978" w:rsidRPr="00EB03CC" w:rsidRDefault="00451978" w:rsidP="00451978">
            <w:pPr>
              <w:spacing w:after="0" w:line="240" w:lineRule="auto"/>
              <w:jc w:val="center"/>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During the Incident</w:t>
            </w:r>
          </w:p>
        </w:tc>
        <w:tc>
          <w:tcPr>
            <w:tcW w:w="0" w:type="auto"/>
            <w:vAlign w:val="center"/>
            <w:hideMark/>
          </w:tcPr>
          <w:p w14:paraId="3C425850" w14:textId="77777777" w:rsidR="00451978" w:rsidRPr="00EB03CC" w:rsidRDefault="00451978" w:rsidP="00451978">
            <w:pPr>
              <w:spacing w:after="0" w:line="240" w:lineRule="auto"/>
              <w:jc w:val="center"/>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After the Incident</w:t>
            </w:r>
          </w:p>
        </w:tc>
      </w:tr>
      <w:tr w:rsidR="00451978" w:rsidRPr="00EB03CC" w14:paraId="29DC7D2A" w14:textId="77777777" w:rsidTr="00EB03CC">
        <w:trPr>
          <w:tblCellSpacing w:w="15" w:type="dxa"/>
        </w:trPr>
        <w:tc>
          <w:tcPr>
            <w:tcW w:w="1480" w:type="dxa"/>
            <w:vAlign w:val="center"/>
            <w:hideMark/>
          </w:tcPr>
          <w:p w14:paraId="12735A50" w14:textId="77777777" w:rsidR="00451978" w:rsidRPr="00EB03CC" w:rsidRDefault="00451978" w:rsidP="00451978">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First Line – Business and IT Operations</w:t>
            </w:r>
          </w:p>
        </w:tc>
        <w:tc>
          <w:tcPr>
            <w:tcW w:w="2538" w:type="dxa"/>
            <w:vAlign w:val="center"/>
            <w:hideMark/>
          </w:tcPr>
          <w:p w14:paraId="6E5C6456" w14:textId="77777777" w:rsidR="00451978" w:rsidRPr="00EB03CC" w:rsidRDefault="00451978" w:rsidP="00451978">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Follow the employee offboarding process, remove system access promptly and confirm that all accounts have been disabled once HR communicates an employee's departure.</w:t>
            </w:r>
          </w:p>
        </w:tc>
        <w:tc>
          <w:tcPr>
            <w:tcW w:w="0" w:type="auto"/>
            <w:vAlign w:val="center"/>
            <w:hideMark/>
          </w:tcPr>
          <w:p w14:paraId="698216B3" w14:textId="77777777" w:rsidR="00451978" w:rsidRPr="00EB03CC" w:rsidRDefault="00451978" w:rsidP="00451978">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Disable the account immediately after the issue is discovered, investigate whether it has been used since the employee left and report the incident.</w:t>
            </w:r>
          </w:p>
        </w:tc>
        <w:tc>
          <w:tcPr>
            <w:tcW w:w="0" w:type="auto"/>
            <w:vAlign w:val="center"/>
            <w:hideMark/>
          </w:tcPr>
          <w:p w14:paraId="3EADBA9A" w14:textId="77777777" w:rsidR="00451978" w:rsidRPr="00EB03CC" w:rsidRDefault="00451978" w:rsidP="00451978">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Correct any weaknesses in the offboarding process, document lessons learnt and ensure staff understand their responsibilities.</w:t>
            </w:r>
          </w:p>
        </w:tc>
      </w:tr>
      <w:tr w:rsidR="00451978" w:rsidRPr="00EB03CC" w14:paraId="09F8B85D" w14:textId="77777777" w:rsidTr="00EB03CC">
        <w:trPr>
          <w:tblCellSpacing w:w="15" w:type="dxa"/>
        </w:trPr>
        <w:tc>
          <w:tcPr>
            <w:tcW w:w="1480" w:type="dxa"/>
            <w:vAlign w:val="center"/>
            <w:hideMark/>
          </w:tcPr>
          <w:p w14:paraId="0ABA7839" w14:textId="77777777" w:rsidR="00451978" w:rsidRPr="00EB03CC" w:rsidRDefault="00451978" w:rsidP="00451978">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Second Line – Risk and Compliance</w:t>
            </w:r>
          </w:p>
        </w:tc>
        <w:tc>
          <w:tcPr>
            <w:tcW w:w="2538" w:type="dxa"/>
            <w:vAlign w:val="center"/>
            <w:hideMark/>
          </w:tcPr>
          <w:p w14:paraId="2EA2CC85" w14:textId="77777777" w:rsidR="00451978" w:rsidRPr="00EB03CC" w:rsidRDefault="00451978" w:rsidP="00451978">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Develop policies for user access management, monitor whether departments are following them and advise management on key risks.</w:t>
            </w:r>
          </w:p>
        </w:tc>
        <w:tc>
          <w:tcPr>
            <w:tcW w:w="0" w:type="auto"/>
            <w:vAlign w:val="center"/>
            <w:hideMark/>
          </w:tcPr>
          <w:p w14:paraId="368CCB6E" w14:textId="77777777" w:rsidR="00451978" w:rsidRPr="00EB03CC" w:rsidRDefault="00451978" w:rsidP="00451978">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Assess the business impact, determine whether policies or regulations have been breached and support management in deciding the appropriate response.</w:t>
            </w:r>
          </w:p>
        </w:tc>
        <w:tc>
          <w:tcPr>
            <w:tcW w:w="0" w:type="auto"/>
            <w:vAlign w:val="center"/>
            <w:hideMark/>
          </w:tcPr>
          <w:p w14:paraId="52650EE1" w14:textId="77777777" w:rsidR="00451978" w:rsidRPr="00EB03CC" w:rsidRDefault="00451978" w:rsidP="00451978">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Review the risk assessment, recommend improvements to existing controls and monitor whether agreed corrective actions have been implemented.</w:t>
            </w:r>
          </w:p>
        </w:tc>
      </w:tr>
      <w:tr w:rsidR="00451978" w:rsidRPr="00EB03CC" w14:paraId="07B25411" w14:textId="77777777" w:rsidTr="00EB03CC">
        <w:trPr>
          <w:tblCellSpacing w:w="15" w:type="dxa"/>
        </w:trPr>
        <w:tc>
          <w:tcPr>
            <w:tcW w:w="1480" w:type="dxa"/>
            <w:vAlign w:val="center"/>
            <w:hideMark/>
          </w:tcPr>
          <w:p w14:paraId="25C58D78" w14:textId="77777777" w:rsidR="00451978" w:rsidRPr="00EB03CC" w:rsidRDefault="00451978" w:rsidP="00451978">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Third Line – Internal Audit</w:t>
            </w:r>
          </w:p>
        </w:tc>
        <w:tc>
          <w:tcPr>
            <w:tcW w:w="2538" w:type="dxa"/>
            <w:vAlign w:val="center"/>
            <w:hideMark/>
          </w:tcPr>
          <w:p w14:paraId="26D10B96" w14:textId="77777777" w:rsidR="00451978" w:rsidRPr="00EB03CC" w:rsidRDefault="00451978" w:rsidP="00451978">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Carry out periodic audits to determine whether access management controls are operating effectively and identify weaknesses before they become incidents.</w:t>
            </w:r>
          </w:p>
        </w:tc>
        <w:tc>
          <w:tcPr>
            <w:tcW w:w="0" w:type="auto"/>
            <w:vAlign w:val="center"/>
            <w:hideMark/>
          </w:tcPr>
          <w:p w14:paraId="3CB64EE9" w14:textId="77777777" w:rsidR="00451978" w:rsidRPr="00EB03CC" w:rsidRDefault="00451978" w:rsidP="00451978">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Maintain independence while gathering evidence and evaluating whether the failure points to wider control issues.</w:t>
            </w:r>
          </w:p>
        </w:tc>
        <w:tc>
          <w:tcPr>
            <w:tcW w:w="0" w:type="auto"/>
            <w:vAlign w:val="center"/>
            <w:hideMark/>
          </w:tcPr>
          <w:p w14:paraId="38FE1D2F" w14:textId="77777777" w:rsidR="00451978" w:rsidRPr="00EB03CC" w:rsidRDefault="00451978" w:rsidP="00451978">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Perform a formal audit of the incident, identify the root cause and provide assurance to senior management that corrective actions are appropriate and effective.</w:t>
            </w:r>
          </w:p>
        </w:tc>
      </w:tr>
    </w:tbl>
    <w:p w14:paraId="66B6F26E" w14:textId="2D099E43" w:rsidR="00451978" w:rsidRPr="00EB03CC" w:rsidRDefault="00451978" w:rsidP="00451978">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To reduce the likelihood of this happening again, the </w:t>
      </w:r>
      <w:r w:rsidR="00EB03CC" w:rsidRPr="00EB03CC">
        <w:rPr>
          <w:rFonts w:ascii="Calibri" w:eastAsia="Times New Roman" w:hAnsi="Calibri" w:cs="Calibri"/>
          <w:kern w:val="0"/>
          <w:sz w:val="21"/>
          <w:szCs w:val="21"/>
          <w14:ligatures w14:val="none"/>
        </w:rPr>
        <w:t>organization</w:t>
      </w:r>
      <w:r w:rsidRPr="00EB03CC">
        <w:rPr>
          <w:rFonts w:ascii="Calibri" w:eastAsia="Times New Roman" w:hAnsi="Calibri" w:cs="Calibri"/>
          <w:kern w:val="0"/>
          <w:sz w:val="21"/>
          <w:szCs w:val="21"/>
          <w14:ligatures w14:val="none"/>
        </w:rPr>
        <w:t xml:space="preserve"> should automate the employee offboarding process by integrating the HR system with its Identity and Access Management platform so that user accounts are automatically disabled when an employee leaves. In addition, management should assign a clear control owner for user access reviews and require regular access recertification to identify inactive or unnecessary accounts before they become a security risk.</w:t>
      </w:r>
    </w:p>
    <w:p w14:paraId="137F63EB" w14:textId="2FA38191" w:rsidR="00451978" w:rsidRPr="00EB03CC" w:rsidRDefault="00451978" w:rsidP="00451978">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lastRenderedPageBreak/>
        <w:t xml:space="preserve">In conclusion, this incident demonstrates that accountability is strongest when each line understands its responsibilities. Operational teams must execute controls consistently, Risk and Compliance must provide oversight and guidance, and Internal Audit must independently assess whether the controls are working as intended. When these roles are clearly defined, </w:t>
      </w:r>
      <w:r w:rsidR="00EB03CC" w:rsidRPr="00EB03CC">
        <w:rPr>
          <w:rFonts w:ascii="Calibri" w:eastAsia="Times New Roman" w:hAnsi="Calibri" w:cs="Calibri"/>
          <w:kern w:val="0"/>
          <w:sz w:val="21"/>
          <w:szCs w:val="21"/>
          <w14:ligatures w14:val="none"/>
        </w:rPr>
        <w:t>organizations</w:t>
      </w:r>
      <w:r w:rsidRPr="00EB03CC">
        <w:rPr>
          <w:rFonts w:ascii="Calibri" w:eastAsia="Times New Roman" w:hAnsi="Calibri" w:cs="Calibri"/>
          <w:kern w:val="0"/>
          <w:sz w:val="21"/>
          <w:szCs w:val="21"/>
          <w14:ligatures w14:val="none"/>
        </w:rPr>
        <w:t xml:space="preserve"> are better positioned to prevent security incidents and strengthen their overall governance framework.</w:t>
      </w:r>
    </w:p>
    <w:p w14:paraId="793AFAEF" w14:textId="77777777" w:rsidR="00451978" w:rsidRPr="00EB03CC" w:rsidRDefault="00451978">
      <w:pPr>
        <w:rPr>
          <w:rFonts w:ascii="Calibri" w:hAnsi="Calibri" w:cs="Calibri"/>
          <w:sz w:val="21"/>
          <w:szCs w:val="21"/>
        </w:rPr>
      </w:pPr>
    </w:p>
    <w:p w14:paraId="31792338" w14:textId="77777777" w:rsidR="004D5119" w:rsidRPr="00EB03CC" w:rsidRDefault="004D5119">
      <w:pPr>
        <w:rPr>
          <w:rFonts w:ascii="Calibri" w:hAnsi="Calibri" w:cs="Calibri"/>
          <w:sz w:val="21"/>
          <w:szCs w:val="21"/>
        </w:rPr>
      </w:pPr>
    </w:p>
    <w:p w14:paraId="7D183C10" w14:textId="5AF1BC46" w:rsidR="004D5119" w:rsidRPr="00EB03CC" w:rsidRDefault="004D5119">
      <w:pPr>
        <w:rPr>
          <w:rStyle w:val="eop"/>
          <w:rFonts w:ascii="Calibri" w:hAnsi="Calibri" w:cs="Calibri"/>
          <w:sz w:val="21"/>
          <w:szCs w:val="21"/>
          <w:bdr w:val="none" w:sz="0" w:space="0" w:color="auto" w:frame="1"/>
          <w:shd w:val="clear" w:color="auto" w:fill="606060"/>
        </w:rPr>
      </w:pPr>
      <w:r w:rsidRPr="00EB03CC">
        <w:rPr>
          <w:rStyle w:val="normaltextrun"/>
          <w:rFonts w:ascii="Calibri" w:hAnsi="Calibri" w:cs="Calibri"/>
          <w:b/>
          <w:bCs/>
          <w:sz w:val="21"/>
          <w:szCs w:val="21"/>
          <w:shd w:val="clear" w:color="auto" w:fill="FFFFFF"/>
        </w:rPr>
        <w:t xml:space="preserve">PART B - FRAMEWORK ANALYSIS AND SYNTHESIS </w:t>
      </w:r>
    </w:p>
    <w:p w14:paraId="65A77551" w14:textId="3A68BAB4" w:rsidR="004D5119" w:rsidRPr="00EB03CC" w:rsidRDefault="004D5119">
      <w:pPr>
        <w:rPr>
          <w:rStyle w:val="eop"/>
          <w:rFonts w:ascii="Calibri" w:hAnsi="Calibri" w:cs="Calibri"/>
          <w:sz w:val="21"/>
          <w:szCs w:val="21"/>
          <w:bdr w:val="none" w:sz="0" w:space="0" w:color="auto" w:frame="1"/>
          <w:shd w:val="clear" w:color="auto" w:fill="606060"/>
        </w:rPr>
      </w:pPr>
      <w:r w:rsidRPr="00EB03CC">
        <w:rPr>
          <w:rStyle w:val="normaltextrun"/>
          <w:rFonts w:ascii="Calibri" w:hAnsi="Calibri" w:cs="Calibri"/>
          <w:b/>
          <w:bCs/>
          <w:sz w:val="21"/>
          <w:szCs w:val="21"/>
          <w:shd w:val="clear" w:color="auto" w:fill="FFFFFF"/>
        </w:rPr>
        <w:t>4. Framework Comparison Matrix</w:t>
      </w:r>
    </w:p>
    <w:p w14:paraId="52CEF743" w14:textId="77777777" w:rsidR="004D5119" w:rsidRPr="00EB03CC" w:rsidRDefault="004D5119" w:rsidP="004D5119">
      <w:pPr>
        <w:spacing w:before="100" w:beforeAutospacing="1" w:after="100" w:afterAutospacing="1" w:line="240" w:lineRule="auto"/>
        <w:outlineLvl w:val="2"/>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Table 3: Comparison of Major GRC Frameworks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6"/>
        <w:gridCol w:w="1479"/>
        <w:gridCol w:w="1330"/>
        <w:gridCol w:w="1173"/>
        <w:gridCol w:w="1562"/>
        <w:gridCol w:w="1544"/>
        <w:gridCol w:w="946"/>
      </w:tblGrid>
      <w:tr w:rsidR="004D5119" w:rsidRPr="00EB03CC" w14:paraId="2978A9DF" w14:textId="77777777" w:rsidTr="004D5119">
        <w:trPr>
          <w:tblHeader/>
          <w:tblCellSpacing w:w="15" w:type="dxa"/>
        </w:trPr>
        <w:tc>
          <w:tcPr>
            <w:tcW w:w="0" w:type="auto"/>
            <w:vAlign w:val="center"/>
            <w:hideMark/>
          </w:tcPr>
          <w:p w14:paraId="68F098A8" w14:textId="77777777" w:rsidR="004D5119" w:rsidRPr="00EB03CC" w:rsidRDefault="004D5119" w:rsidP="004D5119">
            <w:pPr>
              <w:spacing w:after="0" w:line="240" w:lineRule="auto"/>
              <w:jc w:val="center"/>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Framework / Regulation</w:t>
            </w:r>
          </w:p>
        </w:tc>
        <w:tc>
          <w:tcPr>
            <w:tcW w:w="0" w:type="auto"/>
            <w:vAlign w:val="center"/>
            <w:hideMark/>
          </w:tcPr>
          <w:p w14:paraId="711D64A2" w14:textId="77777777" w:rsidR="004D5119" w:rsidRPr="00EB03CC" w:rsidRDefault="004D5119" w:rsidP="004D5119">
            <w:pPr>
              <w:spacing w:after="0" w:line="240" w:lineRule="auto"/>
              <w:jc w:val="center"/>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Primary Purpose</w:t>
            </w:r>
          </w:p>
        </w:tc>
        <w:tc>
          <w:tcPr>
            <w:tcW w:w="0" w:type="auto"/>
            <w:vAlign w:val="center"/>
            <w:hideMark/>
          </w:tcPr>
          <w:p w14:paraId="0FAA8182" w14:textId="77777777" w:rsidR="004D5119" w:rsidRPr="00EB03CC" w:rsidRDefault="004D5119" w:rsidP="004D5119">
            <w:pPr>
              <w:spacing w:after="0" w:line="240" w:lineRule="auto"/>
              <w:jc w:val="center"/>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Scope</w:t>
            </w:r>
          </w:p>
        </w:tc>
        <w:tc>
          <w:tcPr>
            <w:tcW w:w="0" w:type="auto"/>
            <w:vAlign w:val="center"/>
            <w:hideMark/>
          </w:tcPr>
          <w:p w14:paraId="1B3705DC" w14:textId="77777777" w:rsidR="004D5119" w:rsidRPr="00EB03CC" w:rsidRDefault="004D5119" w:rsidP="004D5119">
            <w:pPr>
              <w:spacing w:after="0" w:line="240" w:lineRule="auto"/>
              <w:jc w:val="center"/>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Principal Users</w:t>
            </w:r>
          </w:p>
        </w:tc>
        <w:tc>
          <w:tcPr>
            <w:tcW w:w="0" w:type="auto"/>
            <w:vAlign w:val="center"/>
            <w:hideMark/>
          </w:tcPr>
          <w:p w14:paraId="28E89427" w14:textId="77777777" w:rsidR="004D5119" w:rsidRPr="00EB03CC" w:rsidRDefault="004D5119" w:rsidP="004D5119">
            <w:pPr>
              <w:spacing w:after="0" w:line="240" w:lineRule="auto"/>
              <w:jc w:val="center"/>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Key Outputs / Artefacts</w:t>
            </w:r>
          </w:p>
        </w:tc>
        <w:tc>
          <w:tcPr>
            <w:tcW w:w="0" w:type="auto"/>
            <w:vAlign w:val="center"/>
            <w:hideMark/>
          </w:tcPr>
          <w:p w14:paraId="7D885DBA" w14:textId="77777777" w:rsidR="004D5119" w:rsidRPr="00EB03CC" w:rsidRDefault="004D5119" w:rsidP="004D5119">
            <w:pPr>
              <w:spacing w:after="0" w:line="240" w:lineRule="auto"/>
              <w:jc w:val="center"/>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Business Unit Application</w:t>
            </w:r>
          </w:p>
        </w:tc>
        <w:tc>
          <w:tcPr>
            <w:tcW w:w="0" w:type="auto"/>
            <w:vAlign w:val="center"/>
            <w:hideMark/>
          </w:tcPr>
          <w:p w14:paraId="7380A64C" w14:textId="77777777" w:rsidR="004D5119" w:rsidRPr="00EB03CC" w:rsidRDefault="004D5119" w:rsidP="004D5119">
            <w:pPr>
              <w:spacing w:after="0" w:line="240" w:lineRule="auto"/>
              <w:jc w:val="center"/>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Strongest OCEG Phase(s)</w:t>
            </w:r>
          </w:p>
        </w:tc>
      </w:tr>
      <w:tr w:rsidR="004D5119" w:rsidRPr="00EB03CC" w14:paraId="7D29087A" w14:textId="77777777" w:rsidTr="004D5119">
        <w:trPr>
          <w:tblCellSpacing w:w="15" w:type="dxa"/>
        </w:trPr>
        <w:tc>
          <w:tcPr>
            <w:tcW w:w="0" w:type="auto"/>
            <w:vAlign w:val="center"/>
            <w:hideMark/>
          </w:tcPr>
          <w:p w14:paraId="15199805"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ISO 31000</w:t>
            </w:r>
          </w:p>
        </w:tc>
        <w:tc>
          <w:tcPr>
            <w:tcW w:w="0" w:type="auto"/>
            <w:vAlign w:val="center"/>
            <w:hideMark/>
          </w:tcPr>
          <w:p w14:paraId="11E9C0A6" w14:textId="730F6019"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Helps </w:t>
            </w:r>
            <w:r w:rsidR="00EB03CC" w:rsidRPr="00EB03CC">
              <w:rPr>
                <w:rFonts w:ascii="Calibri" w:eastAsia="Times New Roman" w:hAnsi="Calibri" w:cs="Calibri"/>
                <w:kern w:val="0"/>
                <w:sz w:val="21"/>
                <w:szCs w:val="21"/>
                <w14:ligatures w14:val="none"/>
              </w:rPr>
              <w:t>organizations</w:t>
            </w:r>
            <w:r w:rsidRPr="00EB03CC">
              <w:rPr>
                <w:rFonts w:ascii="Calibri" w:eastAsia="Times New Roman" w:hAnsi="Calibri" w:cs="Calibri"/>
                <w:kern w:val="0"/>
                <w:sz w:val="21"/>
                <w:szCs w:val="21"/>
                <w14:ligatures w14:val="none"/>
              </w:rPr>
              <w:t xml:space="preserve"> identify, assess and respond to risks that may affect business objectives.</w:t>
            </w:r>
          </w:p>
        </w:tc>
        <w:tc>
          <w:tcPr>
            <w:tcW w:w="0" w:type="auto"/>
            <w:vAlign w:val="center"/>
            <w:hideMark/>
          </w:tcPr>
          <w:p w14:paraId="4F90690F"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Enterprise-wide risk management.</w:t>
            </w:r>
          </w:p>
        </w:tc>
        <w:tc>
          <w:tcPr>
            <w:tcW w:w="0" w:type="auto"/>
            <w:vAlign w:val="center"/>
            <w:hideMark/>
          </w:tcPr>
          <w:p w14:paraId="721B4C99"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Risk managers, executives and business unit managers.</w:t>
            </w:r>
          </w:p>
        </w:tc>
        <w:tc>
          <w:tcPr>
            <w:tcW w:w="0" w:type="auto"/>
            <w:vAlign w:val="center"/>
            <w:hideMark/>
          </w:tcPr>
          <w:p w14:paraId="1C5675DB"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Risk registers, risk assessments and risk treatment plans.</w:t>
            </w:r>
          </w:p>
        </w:tc>
        <w:tc>
          <w:tcPr>
            <w:tcW w:w="0" w:type="auto"/>
            <w:vAlign w:val="center"/>
            <w:hideMark/>
          </w:tcPr>
          <w:p w14:paraId="3BF4182B" w14:textId="3E56DB3C"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Used by business units to identify operational risks, evaluate their impact and decide on suitable treatments before risks </w:t>
            </w:r>
            <w:r w:rsidR="00EB03CC" w:rsidRPr="00EB03CC">
              <w:rPr>
                <w:rFonts w:ascii="Calibri" w:eastAsia="Times New Roman" w:hAnsi="Calibri" w:cs="Calibri"/>
                <w:kern w:val="0"/>
                <w:sz w:val="21"/>
                <w:szCs w:val="21"/>
                <w14:ligatures w14:val="none"/>
              </w:rPr>
              <w:t>materialize</w:t>
            </w:r>
            <w:r w:rsidRPr="00EB03CC">
              <w:rPr>
                <w:rFonts w:ascii="Calibri" w:eastAsia="Times New Roman" w:hAnsi="Calibri" w:cs="Calibri"/>
                <w:kern w:val="0"/>
                <w:sz w:val="21"/>
                <w:szCs w:val="21"/>
                <w14:ligatures w14:val="none"/>
              </w:rPr>
              <w:t>.</w:t>
            </w:r>
          </w:p>
        </w:tc>
        <w:tc>
          <w:tcPr>
            <w:tcW w:w="0" w:type="auto"/>
            <w:vAlign w:val="center"/>
            <w:hideMark/>
          </w:tcPr>
          <w:p w14:paraId="1E4FF9A6"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Learn, Review</w:t>
            </w:r>
          </w:p>
        </w:tc>
      </w:tr>
      <w:tr w:rsidR="004D5119" w:rsidRPr="00EB03CC" w14:paraId="285952E3" w14:textId="77777777" w:rsidTr="004D5119">
        <w:trPr>
          <w:tblCellSpacing w:w="15" w:type="dxa"/>
        </w:trPr>
        <w:tc>
          <w:tcPr>
            <w:tcW w:w="0" w:type="auto"/>
            <w:vAlign w:val="center"/>
            <w:hideMark/>
          </w:tcPr>
          <w:p w14:paraId="2A3732D9"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COBIT 2019</w:t>
            </w:r>
          </w:p>
        </w:tc>
        <w:tc>
          <w:tcPr>
            <w:tcW w:w="0" w:type="auto"/>
            <w:vAlign w:val="center"/>
            <w:hideMark/>
          </w:tcPr>
          <w:p w14:paraId="22A67258"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Provides a governance framework that ensures IT supports business objectives and delivers value.</w:t>
            </w:r>
          </w:p>
        </w:tc>
        <w:tc>
          <w:tcPr>
            <w:tcW w:w="0" w:type="auto"/>
            <w:vAlign w:val="center"/>
            <w:hideMark/>
          </w:tcPr>
          <w:p w14:paraId="667D66B1"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Enterprise governance and management of information and technology.</w:t>
            </w:r>
          </w:p>
        </w:tc>
        <w:tc>
          <w:tcPr>
            <w:tcW w:w="0" w:type="auto"/>
            <w:vAlign w:val="center"/>
            <w:hideMark/>
          </w:tcPr>
          <w:p w14:paraId="73D99480"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Boards, executives, CIOs and IT managers.</w:t>
            </w:r>
          </w:p>
        </w:tc>
        <w:tc>
          <w:tcPr>
            <w:tcW w:w="0" w:type="auto"/>
            <w:vAlign w:val="center"/>
            <w:hideMark/>
          </w:tcPr>
          <w:p w14:paraId="7D22EA88"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Governance processes, performance measures, decision-making structures and policies.</w:t>
            </w:r>
          </w:p>
        </w:tc>
        <w:tc>
          <w:tcPr>
            <w:tcW w:w="0" w:type="auto"/>
            <w:vAlign w:val="center"/>
            <w:hideMark/>
          </w:tcPr>
          <w:p w14:paraId="3F8C6329" w14:textId="253E7FA4"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Helps business units understand responsibilities, improve accountability and ensure technology investments align with </w:t>
            </w:r>
            <w:r w:rsidR="00EB03CC" w:rsidRPr="00EB03CC">
              <w:rPr>
                <w:rFonts w:ascii="Calibri" w:eastAsia="Times New Roman" w:hAnsi="Calibri" w:cs="Calibri"/>
                <w:kern w:val="0"/>
                <w:sz w:val="21"/>
                <w:szCs w:val="21"/>
                <w14:ligatures w14:val="none"/>
              </w:rPr>
              <w:t>organizational</w:t>
            </w:r>
            <w:r w:rsidRPr="00EB03CC">
              <w:rPr>
                <w:rFonts w:ascii="Calibri" w:eastAsia="Times New Roman" w:hAnsi="Calibri" w:cs="Calibri"/>
                <w:kern w:val="0"/>
                <w:sz w:val="21"/>
                <w:szCs w:val="21"/>
                <w14:ligatures w14:val="none"/>
              </w:rPr>
              <w:t xml:space="preserve"> goals.</w:t>
            </w:r>
          </w:p>
        </w:tc>
        <w:tc>
          <w:tcPr>
            <w:tcW w:w="0" w:type="auto"/>
            <w:vAlign w:val="center"/>
            <w:hideMark/>
          </w:tcPr>
          <w:p w14:paraId="07C4EA33"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Align, Review</w:t>
            </w:r>
          </w:p>
        </w:tc>
      </w:tr>
      <w:tr w:rsidR="004D5119" w:rsidRPr="00EB03CC" w14:paraId="110CF043" w14:textId="77777777" w:rsidTr="004D5119">
        <w:trPr>
          <w:tblCellSpacing w:w="15" w:type="dxa"/>
        </w:trPr>
        <w:tc>
          <w:tcPr>
            <w:tcW w:w="0" w:type="auto"/>
            <w:vAlign w:val="center"/>
            <w:hideMark/>
          </w:tcPr>
          <w:p w14:paraId="05CD9653"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ISO/IEC 27001</w:t>
            </w:r>
          </w:p>
        </w:tc>
        <w:tc>
          <w:tcPr>
            <w:tcW w:w="0" w:type="auto"/>
            <w:vAlign w:val="center"/>
            <w:hideMark/>
          </w:tcPr>
          <w:p w14:paraId="3B0CA90C"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Establishes the requirements for an Information Security Management System (ISMS).</w:t>
            </w:r>
          </w:p>
        </w:tc>
        <w:tc>
          <w:tcPr>
            <w:tcW w:w="0" w:type="auto"/>
            <w:vAlign w:val="center"/>
            <w:hideMark/>
          </w:tcPr>
          <w:p w14:paraId="6FBE025B"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Information security management.</w:t>
            </w:r>
          </w:p>
        </w:tc>
        <w:tc>
          <w:tcPr>
            <w:tcW w:w="0" w:type="auto"/>
            <w:vAlign w:val="center"/>
            <w:hideMark/>
          </w:tcPr>
          <w:p w14:paraId="676D4475"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Information Security teams, compliance officers and auditors.</w:t>
            </w:r>
          </w:p>
        </w:tc>
        <w:tc>
          <w:tcPr>
            <w:tcW w:w="0" w:type="auto"/>
            <w:vAlign w:val="center"/>
            <w:hideMark/>
          </w:tcPr>
          <w:p w14:paraId="65E82FD1"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Security policies, Statement of Applicability (SoA), risk assessments and audit reports.</w:t>
            </w:r>
          </w:p>
        </w:tc>
        <w:tc>
          <w:tcPr>
            <w:tcW w:w="0" w:type="auto"/>
            <w:vAlign w:val="center"/>
            <w:hideMark/>
          </w:tcPr>
          <w:p w14:paraId="177F53AC"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Supports business units in protecting sensitive information through appropriate security controls </w:t>
            </w:r>
            <w:r w:rsidRPr="00EB03CC">
              <w:rPr>
                <w:rFonts w:ascii="Calibri" w:eastAsia="Times New Roman" w:hAnsi="Calibri" w:cs="Calibri"/>
                <w:kern w:val="0"/>
                <w:sz w:val="21"/>
                <w:szCs w:val="21"/>
                <w14:ligatures w14:val="none"/>
              </w:rPr>
              <w:lastRenderedPageBreak/>
              <w:t>and continuous improvement.</w:t>
            </w:r>
          </w:p>
        </w:tc>
        <w:tc>
          <w:tcPr>
            <w:tcW w:w="0" w:type="auto"/>
            <w:vAlign w:val="center"/>
            <w:hideMark/>
          </w:tcPr>
          <w:p w14:paraId="0AB9B2CC"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lastRenderedPageBreak/>
              <w:t>Perform, Review</w:t>
            </w:r>
          </w:p>
        </w:tc>
      </w:tr>
      <w:tr w:rsidR="004D5119" w:rsidRPr="00EB03CC" w14:paraId="61BE15F0" w14:textId="77777777" w:rsidTr="004D5119">
        <w:trPr>
          <w:tblCellSpacing w:w="15" w:type="dxa"/>
        </w:trPr>
        <w:tc>
          <w:tcPr>
            <w:tcW w:w="0" w:type="auto"/>
            <w:vAlign w:val="center"/>
            <w:hideMark/>
          </w:tcPr>
          <w:p w14:paraId="3869FE00"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NIST Cybersecurity Framework (CSF) 2.0</w:t>
            </w:r>
          </w:p>
        </w:tc>
        <w:tc>
          <w:tcPr>
            <w:tcW w:w="0" w:type="auto"/>
            <w:vAlign w:val="center"/>
            <w:hideMark/>
          </w:tcPr>
          <w:p w14:paraId="554220AA"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Provides practical guidance for identifying, protecting against, detecting, responding to and recovering from cybersecurity risks.</w:t>
            </w:r>
          </w:p>
        </w:tc>
        <w:tc>
          <w:tcPr>
            <w:tcW w:w="0" w:type="auto"/>
            <w:vAlign w:val="center"/>
            <w:hideMark/>
          </w:tcPr>
          <w:p w14:paraId="64EBEB5A"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Cybersecurity risk management.</w:t>
            </w:r>
          </w:p>
        </w:tc>
        <w:tc>
          <w:tcPr>
            <w:tcW w:w="0" w:type="auto"/>
            <w:vAlign w:val="center"/>
            <w:hideMark/>
          </w:tcPr>
          <w:p w14:paraId="49B0D47B"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Security teams, IT operations, risk managers and business leaders.</w:t>
            </w:r>
          </w:p>
        </w:tc>
        <w:tc>
          <w:tcPr>
            <w:tcW w:w="0" w:type="auto"/>
            <w:vAlign w:val="center"/>
            <w:hideMark/>
          </w:tcPr>
          <w:p w14:paraId="1FD44508"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Cybersecurity profiles, implementation plans and maturity assessments.</w:t>
            </w:r>
          </w:p>
        </w:tc>
        <w:tc>
          <w:tcPr>
            <w:tcW w:w="0" w:type="auto"/>
            <w:vAlign w:val="center"/>
            <w:hideMark/>
          </w:tcPr>
          <w:p w14:paraId="2D690F49"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Helps departments strengthen their cybersecurity posture while supporting day-to-day operational activities.</w:t>
            </w:r>
          </w:p>
        </w:tc>
        <w:tc>
          <w:tcPr>
            <w:tcW w:w="0" w:type="auto"/>
            <w:vAlign w:val="center"/>
            <w:hideMark/>
          </w:tcPr>
          <w:p w14:paraId="327C3305"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Learn, Perform, Review</w:t>
            </w:r>
          </w:p>
        </w:tc>
      </w:tr>
      <w:tr w:rsidR="004D5119" w:rsidRPr="00EB03CC" w14:paraId="6F4F885C" w14:textId="77777777" w:rsidTr="004D5119">
        <w:trPr>
          <w:tblCellSpacing w:w="15" w:type="dxa"/>
        </w:trPr>
        <w:tc>
          <w:tcPr>
            <w:tcW w:w="0" w:type="auto"/>
            <w:vAlign w:val="center"/>
            <w:hideMark/>
          </w:tcPr>
          <w:p w14:paraId="545C9132"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Nigeria Data Protection Act (NDPA) 2023</w:t>
            </w:r>
          </w:p>
        </w:tc>
        <w:tc>
          <w:tcPr>
            <w:tcW w:w="0" w:type="auto"/>
            <w:vAlign w:val="center"/>
            <w:hideMark/>
          </w:tcPr>
          <w:p w14:paraId="7E3B1269" w14:textId="26372762"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Protects personal data and sets legal responsibilities for </w:t>
            </w:r>
            <w:r w:rsidR="00EB03CC" w:rsidRPr="00EB03CC">
              <w:rPr>
                <w:rFonts w:ascii="Calibri" w:eastAsia="Times New Roman" w:hAnsi="Calibri" w:cs="Calibri"/>
                <w:kern w:val="0"/>
                <w:sz w:val="21"/>
                <w:szCs w:val="21"/>
                <w14:ligatures w14:val="none"/>
              </w:rPr>
              <w:t>organizations</w:t>
            </w:r>
            <w:r w:rsidRPr="00EB03CC">
              <w:rPr>
                <w:rFonts w:ascii="Calibri" w:eastAsia="Times New Roman" w:hAnsi="Calibri" w:cs="Calibri"/>
                <w:kern w:val="0"/>
                <w:sz w:val="21"/>
                <w:szCs w:val="21"/>
                <w14:ligatures w14:val="none"/>
              </w:rPr>
              <w:t xml:space="preserve"> processing personal information.</w:t>
            </w:r>
          </w:p>
        </w:tc>
        <w:tc>
          <w:tcPr>
            <w:tcW w:w="0" w:type="auto"/>
            <w:vAlign w:val="center"/>
            <w:hideMark/>
          </w:tcPr>
          <w:p w14:paraId="3B3E51E3"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Data privacy and protection.</w:t>
            </w:r>
          </w:p>
        </w:tc>
        <w:tc>
          <w:tcPr>
            <w:tcW w:w="0" w:type="auto"/>
            <w:vAlign w:val="center"/>
            <w:hideMark/>
          </w:tcPr>
          <w:p w14:paraId="60D84229"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Data Protection Officers, Legal teams, Compliance officers and business managers.</w:t>
            </w:r>
          </w:p>
        </w:tc>
        <w:tc>
          <w:tcPr>
            <w:tcW w:w="0" w:type="auto"/>
            <w:vAlign w:val="center"/>
            <w:hideMark/>
          </w:tcPr>
          <w:p w14:paraId="636F10C9"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Privacy notices, Data Protection Impact Assessments (DPIAs), Records of Processing Activities (RoPA) and breach reports.</w:t>
            </w:r>
          </w:p>
        </w:tc>
        <w:tc>
          <w:tcPr>
            <w:tcW w:w="0" w:type="auto"/>
            <w:vAlign w:val="center"/>
            <w:hideMark/>
          </w:tcPr>
          <w:p w14:paraId="36E3CC75"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Ensures that business units collect, use and store personal data in a lawful and accountable manner.</w:t>
            </w:r>
          </w:p>
        </w:tc>
        <w:tc>
          <w:tcPr>
            <w:tcW w:w="0" w:type="auto"/>
            <w:vAlign w:val="center"/>
            <w:hideMark/>
          </w:tcPr>
          <w:p w14:paraId="5C276B62" w14:textId="77777777" w:rsidR="004D5119" w:rsidRPr="00EB03CC" w:rsidRDefault="004D5119" w:rsidP="004D5119">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Align, Perform, Review</w:t>
            </w:r>
          </w:p>
        </w:tc>
      </w:tr>
    </w:tbl>
    <w:p w14:paraId="592F11A1" w14:textId="77777777" w:rsidR="004D5119" w:rsidRPr="00EB03CC" w:rsidRDefault="00230552" w:rsidP="004D5119">
      <w:pPr>
        <w:spacing w:after="0" w:line="240" w:lineRule="auto"/>
        <w:rPr>
          <w:rFonts w:ascii="Calibri" w:eastAsia="Times New Roman" w:hAnsi="Calibri" w:cs="Calibri"/>
          <w:kern w:val="0"/>
          <w:sz w:val="21"/>
          <w:szCs w:val="21"/>
          <w14:ligatures w14:val="none"/>
        </w:rPr>
      </w:pPr>
      <w:r>
        <w:pict w14:anchorId="37A8FA1F">
          <v:rect id="Horizontal Line 9"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C43004" w14:textId="77777777" w:rsidR="004D5119" w:rsidRPr="00EB03CC" w:rsidRDefault="004D5119" w:rsidP="004D5119">
      <w:pPr>
        <w:spacing w:before="100" w:beforeAutospacing="1" w:after="100" w:afterAutospacing="1" w:line="240" w:lineRule="auto"/>
        <w:outlineLvl w:val="1"/>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Synthesis</w:t>
      </w:r>
    </w:p>
    <w:p w14:paraId="6A73042F" w14:textId="594CF3ED" w:rsidR="004D5119" w:rsidRPr="00EB03CC" w:rsidRDefault="004D5119" w:rsidP="004D5119">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Although each of these frameworks supports good governance, they were developed to address different </w:t>
      </w:r>
      <w:r w:rsidR="00EB03CC" w:rsidRPr="00EB03CC">
        <w:rPr>
          <w:rFonts w:ascii="Calibri" w:eastAsia="Times New Roman" w:hAnsi="Calibri" w:cs="Calibri"/>
          <w:kern w:val="0"/>
          <w:sz w:val="21"/>
          <w:szCs w:val="21"/>
          <w14:ligatures w14:val="none"/>
        </w:rPr>
        <w:t>organizational</w:t>
      </w:r>
      <w:r w:rsidRPr="00EB03CC">
        <w:rPr>
          <w:rFonts w:ascii="Calibri" w:eastAsia="Times New Roman" w:hAnsi="Calibri" w:cs="Calibri"/>
          <w:kern w:val="0"/>
          <w:sz w:val="21"/>
          <w:szCs w:val="21"/>
          <w14:ligatures w14:val="none"/>
        </w:rPr>
        <w:t xml:space="preserve"> needs. This means that no single framework can provide everything an </w:t>
      </w:r>
      <w:r w:rsidR="00EB03CC" w:rsidRPr="00EB03CC">
        <w:rPr>
          <w:rFonts w:ascii="Calibri" w:eastAsia="Times New Roman" w:hAnsi="Calibri" w:cs="Calibri"/>
          <w:kern w:val="0"/>
          <w:sz w:val="21"/>
          <w:szCs w:val="21"/>
          <w14:ligatures w14:val="none"/>
        </w:rPr>
        <w:t>organization</w:t>
      </w:r>
      <w:r w:rsidRPr="00EB03CC">
        <w:rPr>
          <w:rFonts w:ascii="Calibri" w:eastAsia="Times New Roman" w:hAnsi="Calibri" w:cs="Calibri"/>
          <w:kern w:val="0"/>
          <w:sz w:val="21"/>
          <w:szCs w:val="21"/>
          <w14:ligatures w14:val="none"/>
        </w:rPr>
        <w:t xml:space="preserve"> requires to manage governance, risk and compliance effectively.</w:t>
      </w:r>
    </w:p>
    <w:p w14:paraId="59746D25" w14:textId="03F022C8" w:rsidR="004D5119" w:rsidRPr="00EB03CC" w:rsidRDefault="004D5119" w:rsidP="004D5119">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ISO 31000 focuses on helping </w:t>
      </w:r>
      <w:r w:rsidR="00EB03CC" w:rsidRPr="00EB03CC">
        <w:rPr>
          <w:rFonts w:ascii="Calibri" w:eastAsia="Times New Roman" w:hAnsi="Calibri" w:cs="Calibri"/>
          <w:kern w:val="0"/>
          <w:sz w:val="21"/>
          <w:szCs w:val="21"/>
          <w14:ligatures w14:val="none"/>
        </w:rPr>
        <w:t>organizations</w:t>
      </w:r>
      <w:r w:rsidRPr="00EB03CC">
        <w:rPr>
          <w:rFonts w:ascii="Calibri" w:eastAsia="Times New Roman" w:hAnsi="Calibri" w:cs="Calibri"/>
          <w:kern w:val="0"/>
          <w:sz w:val="21"/>
          <w:szCs w:val="21"/>
          <w14:ligatures w14:val="none"/>
        </w:rPr>
        <w:t xml:space="preserve"> understand and manage risk, but it does not provide detailed governance structures or technical security controls. On the other hand, ISO/IEC 27001 concentrates on protecting information assets by establishing an Information Security Management System. While it strengthens information security, it does not cover broader </w:t>
      </w:r>
      <w:r w:rsidR="00EB03CC" w:rsidRPr="00EB03CC">
        <w:rPr>
          <w:rFonts w:ascii="Calibri" w:eastAsia="Times New Roman" w:hAnsi="Calibri" w:cs="Calibri"/>
          <w:kern w:val="0"/>
          <w:sz w:val="21"/>
          <w:szCs w:val="21"/>
          <w14:ligatures w14:val="none"/>
        </w:rPr>
        <w:t>organizational</w:t>
      </w:r>
      <w:r w:rsidRPr="00EB03CC">
        <w:rPr>
          <w:rFonts w:ascii="Calibri" w:eastAsia="Times New Roman" w:hAnsi="Calibri" w:cs="Calibri"/>
          <w:kern w:val="0"/>
          <w:sz w:val="21"/>
          <w:szCs w:val="21"/>
          <w14:ligatures w14:val="none"/>
        </w:rPr>
        <w:t xml:space="preserve"> governance or strategic decision-making.</w:t>
      </w:r>
    </w:p>
    <w:p w14:paraId="628BF7C3" w14:textId="3CBBFD7F" w:rsidR="004D5119" w:rsidRPr="00EB03CC" w:rsidRDefault="004D5119" w:rsidP="004D5119">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COBIT 2019 fills that gap by helping </w:t>
      </w:r>
      <w:r w:rsidR="00EB03CC" w:rsidRPr="00EB03CC">
        <w:rPr>
          <w:rFonts w:ascii="Calibri" w:eastAsia="Times New Roman" w:hAnsi="Calibri" w:cs="Calibri"/>
          <w:kern w:val="0"/>
          <w:sz w:val="21"/>
          <w:szCs w:val="21"/>
          <w14:ligatures w14:val="none"/>
        </w:rPr>
        <w:t>organizations</w:t>
      </w:r>
      <w:r w:rsidRPr="00EB03CC">
        <w:rPr>
          <w:rFonts w:ascii="Calibri" w:eastAsia="Times New Roman" w:hAnsi="Calibri" w:cs="Calibri"/>
          <w:kern w:val="0"/>
          <w:sz w:val="21"/>
          <w:szCs w:val="21"/>
          <w14:ligatures w14:val="none"/>
        </w:rPr>
        <w:t xml:space="preserve"> govern and manage information technology in a way that supports business objectives. It </w:t>
      </w:r>
      <w:r w:rsidR="00EB03CC" w:rsidRPr="00EB03CC">
        <w:rPr>
          <w:rFonts w:ascii="Calibri" w:eastAsia="Times New Roman" w:hAnsi="Calibri" w:cs="Calibri"/>
          <w:kern w:val="0"/>
          <w:sz w:val="21"/>
          <w:szCs w:val="21"/>
          <w14:ligatures w14:val="none"/>
        </w:rPr>
        <w:t>emphasizes</w:t>
      </w:r>
      <w:r w:rsidRPr="00EB03CC">
        <w:rPr>
          <w:rFonts w:ascii="Calibri" w:eastAsia="Times New Roman" w:hAnsi="Calibri" w:cs="Calibri"/>
          <w:kern w:val="0"/>
          <w:sz w:val="21"/>
          <w:szCs w:val="21"/>
          <w14:ligatures w14:val="none"/>
        </w:rPr>
        <w:t xml:space="preserve"> accountability, performance measurement and aligning IT investments with </w:t>
      </w:r>
      <w:r w:rsidR="00EB03CC" w:rsidRPr="00EB03CC">
        <w:rPr>
          <w:rFonts w:ascii="Calibri" w:eastAsia="Times New Roman" w:hAnsi="Calibri" w:cs="Calibri"/>
          <w:kern w:val="0"/>
          <w:sz w:val="21"/>
          <w:szCs w:val="21"/>
          <w14:ligatures w14:val="none"/>
        </w:rPr>
        <w:t>organizational</w:t>
      </w:r>
      <w:r w:rsidRPr="00EB03CC">
        <w:rPr>
          <w:rFonts w:ascii="Calibri" w:eastAsia="Times New Roman" w:hAnsi="Calibri" w:cs="Calibri"/>
          <w:kern w:val="0"/>
          <w:sz w:val="21"/>
          <w:szCs w:val="21"/>
          <w14:ligatures w14:val="none"/>
        </w:rPr>
        <w:t xml:space="preserve"> strategy. Similarly, the NIST Cybersecurity Framework 2.0 provides practical guidance for managing cybersecurity risks and is particularly useful for </w:t>
      </w:r>
      <w:r w:rsidR="00EB03CC" w:rsidRPr="00EB03CC">
        <w:rPr>
          <w:rFonts w:ascii="Calibri" w:eastAsia="Times New Roman" w:hAnsi="Calibri" w:cs="Calibri"/>
          <w:kern w:val="0"/>
          <w:sz w:val="21"/>
          <w:szCs w:val="21"/>
          <w14:ligatures w14:val="none"/>
        </w:rPr>
        <w:t>organizations</w:t>
      </w:r>
      <w:r w:rsidRPr="00EB03CC">
        <w:rPr>
          <w:rFonts w:ascii="Calibri" w:eastAsia="Times New Roman" w:hAnsi="Calibri" w:cs="Calibri"/>
          <w:kern w:val="0"/>
          <w:sz w:val="21"/>
          <w:szCs w:val="21"/>
          <w14:ligatures w14:val="none"/>
        </w:rPr>
        <w:t xml:space="preserve"> looking to improve their cyber resilience.</w:t>
      </w:r>
    </w:p>
    <w:p w14:paraId="2EACCD15" w14:textId="6D7B8B65" w:rsidR="004D5119" w:rsidRPr="00EB03CC" w:rsidRDefault="004D5119" w:rsidP="004D5119">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lastRenderedPageBreak/>
        <w:t xml:space="preserve">The Nigeria Data Protection Act (NDPA) 2023 serves a different purpose by defining the legal requirements for processing personal data. Compliance with the Act requires </w:t>
      </w:r>
      <w:r w:rsidR="00EB03CC" w:rsidRPr="00EB03CC">
        <w:rPr>
          <w:rFonts w:ascii="Calibri" w:eastAsia="Times New Roman" w:hAnsi="Calibri" w:cs="Calibri"/>
          <w:kern w:val="0"/>
          <w:sz w:val="21"/>
          <w:szCs w:val="21"/>
          <w14:ligatures w14:val="none"/>
        </w:rPr>
        <w:t>organizations</w:t>
      </w:r>
      <w:r w:rsidRPr="00EB03CC">
        <w:rPr>
          <w:rFonts w:ascii="Calibri" w:eastAsia="Times New Roman" w:hAnsi="Calibri" w:cs="Calibri"/>
          <w:kern w:val="0"/>
          <w:sz w:val="21"/>
          <w:szCs w:val="21"/>
          <w14:ligatures w14:val="none"/>
        </w:rPr>
        <w:t xml:space="preserve"> to implement privacy controls that may not be fully addressed by other frameworks.</w:t>
      </w:r>
    </w:p>
    <w:p w14:paraId="36445EEB" w14:textId="00945111" w:rsidR="004D5119" w:rsidRPr="00EB03CC" w:rsidRDefault="004D5119" w:rsidP="004D5119">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In practice, </w:t>
      </w:r>
      <w:r w:rsidR="00EB03CC" w:rsidRPr="00EB03CC">
        <w:rPr>
          <w:rFonts w:ascii="Calibri" w:eastAsia="Times New Roman" w:hAnsi="Calibri" w:cs="Calibri"/>
          <w:kern w:val="0"/>
          <w:sz w:val="21"/>
          <w:szCs w:val="21"/>
          <w14:ligatures w14:val="none"/>
        </w:rPr>
        <w:t>organizations</w:t>
      </w:r>
      <w:r w:rsidRPr="00EB03CC">
        <w:rPr>
          <w:rFonts w:ascii="Calibri" w:eastAsia="Times New Roman" w:hAnsi="Calibri" w:cs="Calibri"/>
          <w:kern w:val="0"/>
          <w:sz w:val="21"/>
          <w:szCs w:val="21"/>
          <w14:ligatures w14:val="none"/>
        </w:rPr>
        <w:t xml:space="preserve"> rarely adopt just one framework. Instead, they combine them to build an integrated GRC capability. For example, a company developing a cloud-hosted customer portal may use ISO 31000 to assess project risks, COBIT to establish governance, ISO/IEC 27001 to implement security controls, NIST CSF to strengthen cybersecurity practices and the NDPA to ensure that customer information is handled in accordance with legal requirements. Together, these frameworks provide a more balanced and effective approach than any one framework could achieve on its own.</w:t>
      </w:r>
    </w:p>
    <w:p w14:paraId="565DA8FB" w14:textId="77777777" w:rsidR="00854F0C" w:rsidRPr="00EB03CC" w:rsidRDefault="00854F0C" w:rsidP="004D5119">
      <w:pPr>
        <w:spacing w:before="100" w:beforeAutospacing="1" w:after="100" w:afterAutospacing="1" w:line="240" w:lineRule="auto"/>
        <w:rPr>
          <w:rFonts w:ascii="Calibri" w:eastAsia="Times New Roman" w:hAnsi="Calibri" w:cs="Calibri"/>
          <w:kern w:val="0"/>
          <w:sz w:val="21"/>
          <w:szCs w:val="21"/>
          <w14:ligatures w14:val="none"/>
        </w:rPr>
      </w:pPr>
    </w:p>
    <w:p w14:paraId="107F68AD" w14:textId="77777777" w:rsidR="00854F0C" w:rsidRPr="00EB03CC" w:rsidRDefault="00854F0C" w:rsidP="00854F0C">
      <w:pPr>
        <w:spacing w:before="100" w:beforeAutospacing="1" w:after="100" w:afterAutospacing="1" w:line="240" w:lineRule="auto"/>
        <w:outlineLvl w:val="0"/>
        <w:rPr>
          <w:rFonts w:ascii="Calibri" w:eastAsia="Times New Roman" w:hAnsi="Calibri" w:cs="Calibri"/>
          <w:b/>
          <w:bCs/>
          <w:kern w:val="36"/>
          <w:sz w:val="21"/>
          <w:szCs w:val="21"/>
          <w14:ligatures w14:val="none"/>
        </w:rPr>
      </w:pPr>
      <w:r w:rsidRPr="00EB03CC">
        <w:rPr>
          <w:rFonts w:ascii="Calibri" w:eastAsia="Times New Roman" w:hAnsi="Calibri" w:cs="Calibri"/>
          <w:b/>
          <w:bCs/>
          <w:kern w:val="36"/>
          <w:sz w:val="21"/>
          <w:szCs w:val="21"/>
          <w14:ligatures w14:val="none"/>
        </w:rPr>
        <w:t>Question 5: From Many Frameworks to One Common Control Framework</w:t>
      </w:r>
    </w:p>
    <w:p w14:paraId="02DF7810" w14:textId="77777777" w:rsidR="00854F0C" w:rsidRPr="00EB03CC" w:rsidRDefault="00854F0C" w:rsidP="00854F0C">
      <w:pPr>
        <w:spacing w:before="100" w:beforeAutospacing="1" w:after="100" w:afterAutospacing="1" w:line="240" w:lineRule="auto"/>
        <w:outlineLvl w:val="1"/>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Purpose of a Common Control Framework (CCF)</w:t>
      </w:r>
    </w:p>
    <w:p w14:paraId="520DAEAA" w14:textId="17DFA21C" w:rsidR="00854F0C" w:rsidRPr="00EB03CC" w:rsidRDefault="00854F0C" w:rsidP="00854F0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A Common Control Framework (CCF) is a structured approach that allows an </w:t>
      </w:r>
      <w:r w:rsidR="00EB03CC" w:rsidRPr="00EB03CC">
        <w:rPr>
          <w:rFonts w:ascii="Calibri" w:eastAsia="Times New Roman" w:hAnsi="Calibri" w:cs="Calibri"/>
          <w:kern w:val="0"/>
          <w:sz w:val="21"/>
          <w:szCs w:val="21"/>
          <w14:ligatures w14:val="none"/>
        </w:rPr>
        <w:t>organization</w:t>
      </w:r>
      <w:r w:rsidRPr="00EB03CC">
        <w:rPr>
          <w:rFonts w:ascii="Calibri" w:eastAsia="Times New Roman" w:hAnsi="Calibri" w:cs="Calibri"/>
          <w:kern w:val="0"/>
          <w:sz w:val="21"/>
          <w:szCs w:val="21"/>
          <w14:ligatures w14:val="none"/>
        </w:rPr>
        <w:t xml:space="preserve"> to manage security, privacy and compliance requirements through a common set of controls rather than creating separate controls for every individual framework or regulation.</w:t>
      </w:r>
    </w:p>
    <w:p w14:paraId="71F29A15" w14:textId="2A460BAB" w:rsidR="00854F0C" w:rsidRPr="00EB03CC" w:rsidRDefault="00854F0C" w:rsidP="00854F0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In many </w:t>
      </w:r>
      <w:r w:rsidR="00EB03CC" w:rsidRPr="00EB03CC">
        <w:rPr>
          <w:rFonts w:ascii="Calibri" w:eastAsia="Times New Roman" w:hAnsi="Calibri" w:cs="Calibri"/>
          <w:kern w:val="0"/>
          <w:sz w:val="21"/>
          <w:szCs w:val="21"/>
          <w14:ligatures w14:val="none"/>
        </w:rPr>
        <w:t>organizations</w:t>
      </w:r>
      <w:r w:rsidRPr="00EB03CC">
        <w:rPr>
          <w:rFonts w:ascii="Calibri" w:eastAsia="Times New Roman" w:hAnsi="Calibri" w:cs="Calibri"/>
          <w:kern w:val="0"/>
          <w:sz w:val="21"/>
          <w:szCs w:val="21"/>
          <w14:ligatures w14:val="none"/>
        </w:rPr>
        <w:t>, different teams are responsible for different compliance requirements. For example, the security team may work with ISO/IEC 27001, the technology team may use COBIT, and compliance teams may focus on privacy regulations. Without a common control structure, this can result in duplicated activities, inconsistent processes and difficulty proving compliance during audits.</w:t>
      </w:r>
    </w:p>
    <w:p w14:paraId="030DFECF" w14:textId="20B41AF3" w:rsidR="00854F0C" w:rsidRPr="00EB03CC" w:rsidRDefault="00854F0C" w:rsidP="00854F0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A CCF helps address this challenge by mapping one </w:t>
      </w:r>
      <w:r w:rsidR="00EB03CC" w:rsidRPr="00EB03CC">
        <w:rPr>
          <w:rFonts w:ascii="Calibri" w:eastAsia="Times New Roman" w:hAnsi="Calibri" w:cs="Calibri"/>
          <w:kern w:val="0"/>
          <w:sz w:val="21"/>
          <w:szCs w:val="21"/>
          <w14:ligatures w14:val="none"/>
        </w:rPr>
        <w:t>organizational</w:t>
      </w:r>
      <w:r w:rsidRPr="00EB03CC">
        <w:rPr>
          <w:rFonts w:ascii="Calibri" w:eastAsia="Times New Roman" w:hAnsi="Calibri" w:cs="Calibri"/>
          <w:kern w:val="0"/>
          <w:sz w:val="21"/>
          <w:szCs w:val="21"/>
          <w14:ligatures w14:val="none"/>
        </w:rPr>
        <w:t xml:space="preserve"> control against multiple frameworks. This improves traceability because the </w:t>
      </w:r>
      <w:r w:rsidR="00EB03CC" w:rsidRPr="00EB03CC">
        <w:rPr>
          <w:rFonts w:ascii="Calibri" w:eastAsia="Times New Roman" w:hAnsi="Calibri" w:cs="Calibri"/>
          <w:kern w:val="0"/>
          <w:sz w:val="21"/>
          <w:szCs w:val="21"/>
          <w14:ligatures w14:val="none"/>
        </w:rPr>
        <w:t>organization</w:t>
      </w:r>
      <w:r w:rsidRPr="00EB03CC">
        <w:rPr>
          <w:rFonts w:ascii="Calibri" w:eastAsia="Times New Roman" w:hAnsi="Calibri" w:cs="Calibri"/>
          <w:kern w:val="0"/>
          <w:sz w:val="21"/>
          <w:szCs w:val="21"/>
          <w14:ligatures w14:val="none"/>
        </w:rPr>
        <w:t xml:space="preserve"> can clearly demonstrate how a single control supports different requirements. It also improves accountability by identifying control owners, required evidence and testing procedures.</w:t>
      </w:r>
    </w:p>
    <w:p w14:paraId="4AF50352" w14:textId="54EEC27C" w:rsidR="00854F0C" w:rsidRPr="00EB03CC" w:rsidRDefault="00854F0C" w:rsidP="00854F0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However, a CCF does not mean that all frameworks become identical. Each framework has its own purpose and expectations. The </w:t>
      </w:r>
      <w:r w:rsidR="00EB03CC" w:rsidRPr="00EB03CC">
        <w:rPr>
          <w:rFonts w:ascii="Calibri" w:eastAsia="Times New Roman" w:hAnsi="Calibri" w:cs="Calibri"/>
          <w:kern w:val="0"/>
          <w:sz w:val="21"/>
          <w:szCs w:val="21"/>
          <w14:ligatures w14:val="none"/>
        </w:rPr>
        <w:t>organization</w:t>
      </w:r>
      <w:r w:rsidRPr="00EB03CC">
        <w:rPr>
          <w:rFonts w:ascii="Calibri" w:eastAsia="Times New Roman" w:hAnsi="Calibri" w:cs="Calibri"/>
          <w:kern w:val="0"/>
          <w:sz w:val="21"/>
          <w:szCs w:val="21"/>
          <w14:ligatures w14:val="none"/>
        </w:rPr>
        <w:t xml:space="preserve"> must still interpret the control based on the specific requirement being addressed.</w:t>
      </w:r>
    </w:p>
    <w:p w14:paraId="348D3C81" w14:textId="2AACE015" w:rsidR="00854F0C" w:rsidRPr="00EB03CC" w:rsidRDefault="00854F0C" w:rsidP="00854F0C">
      <w:pPr>
        <w:spacing w:after="0" w:line="240" w:lineRule="auto"/>
        <w:rPr>
          <w:rFonts w:ascii="Calibri" w:eastAsia="Times New Roman" w:hAnsi="Calibri" w:cs="Calibri"/>
          <w:kern w:val="0"/>
          <w:sz w:val="21"/>
          <w:szCs w:val="21"/>
          <w14:ligatures w14:val="none"/>
        </w:rPr>
      </w:pPr>
    </w:p>
    <w:p w14:paraId="2956F7EF" w14:textId="77777777" w:rsidR="00854F0C" w:rsidRPr="00EB03CC" w:rsidRDefault="00854F0C" w:rsidP="00854F0C">
      <w:pPr>
        <w:spacing w:before="100" w:beforeAutospacing="1" w:after="100" w:afterAutospacing="1" w:line="240" w:lineRule="auto"/>
        <w:outlineLvl w:val="0"/>
        <w:rPr>
          <w:rFonts w:ascii="Calibri" w:eastAsia="Times New Roman" w:hAnsi="Calibri" w:cs="Calibri"/>
          <w:b/>
          <w:bCs/>
          <w:kern w:val="36"/>
          <w:sz w:val="21"/>
          <w:szCs w:val="21"/>
          <w14:ligatures w14:val="none"/>
        </w:rPr>
      </w:pPr>
      <w:r w:rsidRPr="00EB03CC">
        <w:rPr>
          <w:rFonts w:ascii="Calibri" w:eastAsia="Times New Roman" w:hAnsi="Calibri" w:cs="Calibri"/>
          <w:b/>
          <w:bCs/>
          <w:kern w:val="36"/>
          <w:sz w:val="21"/>
          <w:szCs w:val="21"/>
          <w14:ligatures w14:val="none"/>
        </w:rPr>
        <w:t>Example Control Mapping: Privileged Access Management (PAM)</w:t>
      </w:r>
    </w:p>
    <w:p w14:paraId="087241DA" w14:textId="77777777" w:rsidR="00854F0C" w:rsidRPr="00EB03CC" w:rsidRDefault="00854F0C" w:rsidP="00854F0C">
      <w:pPr>
        <w:spacing w:before="100" w:beforeAutospacing="1" w:after="100" w:afterAutospacing="1" w:line="240" w:lineRule="auto"/>
        <w:outlineLvl w:val="2"/>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Control Name:</w:t>
      </w:r>
    </w:p>
    <w:p w14:paraId="2254FA40" w14:textId="77777777" w:rsidR="00854F0C" w:rsidRPr="00EB03CC" w:rsidRDefault="00854F0C" w:rsidP="00854F0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Privileged Account Management</w:t>
      </w:r>
    </w:p>
    <w:p w14:paraId="3111299D" w14:textId="77777777" w:rsidR="00854F0C" w:rsidRPr="00EB03CC" w:rsidRDefault="00854F0C" w:rsidP="00854F0C">
      <w:pPr>
        <w:spacing w:before="100" w:beforeAutospacing="1" w:after="100" w:afterAutospacing="1" w:line="240" w:lineRule="auto"/>
        <w:outlineLvl w:val="2"/>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Control Objective:</w:t>
      </w:r>
    </w:p>
    <w:p w14:paraId="7A7646FF" w14:textId="1D945730" w:rsidR="00854F0C" w:rsidRPr="00EB03CC" w:rsidRDefault="00854F0C" w:rsidP="00854F0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Ensure that privileged access to critical systems is </w:t>
      </w:r>
      <w:r w:rsidR="00EB03CC" w:rsidRPr="00EB03CC">
        <w:rPr>
          <w:rFonts w:ascii="Calibri" w:eastAsia="Times New Roman" w:hAnsi="Calibri" w:cs="Calibri"/>
          <w:kern w:val="0"/>
          <w:sz w:val="21"/>
          <w:szCs w:val="21"/>
          <w14:ligatures w14:val="none"/>
        </w:rPr>
        <w:t>authorized</w:t>
      </w:r>
      <w:r w:rsidRPr="00EB03CC">
        <w:rPr>
          <w:rFonts w:ascii="Calibri" w:eastAsia="Times New Roman" w:hAnsi="Calibri" w:cs="Calibri"/>
          <w:kern w:val="0"/>
          <w:sz w:val="21"/>
          <w:szCs w:val="21"/>
          <w14:ligatures w14:val="none"/>
        </w:rPr>
        <w:t xml:space="preserve">, monitored and reviewed regularly to reduce the risk of </w:t>
      </w:r>
      <w:r w:rsidR="00EB03CC" w:rsidRPr="00EB03CC">
        <w:rPr>
          <w:rFonts w:ascii="Calibri" w:eastAsia="Times New Roman" w:hAnsi="Calibri" w:cs="Calibri"/>
          <w:kern w:val="0"/>
          <w:sz w:val="21"/>
          <w:szCs w:val="21"/>
          <w14:ligatures w14:val="none"/>
        </w:rPr>
        <w:t>unauthorized</w:t>
      </w:r>
      <w:r w:rsidRPr="00EB03CC">
        <w:rPr>
          <w:rFonts w:ascii="Calibri" w:eastAsia="Times New Roman" w:hAnsi="Calibri" w:cs="Calibri"/>
          <w:kern w:val="0"/>
          <w:sz w:val="21"/>
          <w:szCs w:val="21"/>
          <w14:ligatures w14:val="none"/>
        </w:rPr>
        <w:t xml:space="preserve"> access, misuse of administrator privileges and potential security incidents.</w:t>
      </w:r>
    </w:p>
    <w:p w14:paraId="268E921C" w14:textId="77777777" w:rsidR="00854F0C" w:rsidRPr="00EB03CC" w:rsidRDefault="00854F0C" w:rsidP="00854F0C">
      <w:pPr>
        <w:spacing w:before="100" w:beforeAutospacing="1" w:after="100" w:afterAutospacing="1" w:line="240" w:lineRule="auto"/>
        <w:outlineLvl w:val="2"/>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Control Owner:</w:t>
      </w:r>
    </w:p>
    <w:p w14:paraId="6A2F2BE3" w14:textId="5EE19963" w:rsidR="00854F0C" w:rsidRPr="00EB03CC" w:rsidRDefault="00854F0C" w:rsidP="00EB03C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lastRenderedPageBreak/>
        <w:t>Identity and Access Management (IAM) Manager</w:t>
      </w:r>
    </w:p>
    <w:p w14:paraId="2EB38300" w14:textId="75813621" w:rsidR="00854F0C" w:rsidRDefault="00854F0C" w:rsidP="00854F0C">
      <w:pPr>
        <w:spacing w:before="100" w:beforeAutospacing="1" w:after="100" w:afterAutospacing="1" w:line="240" w:lineRule="auto"/>
        <w:outlineLvl w:val="2"/>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Table 3: Control Mapping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8"/>
        <w:gridCol w:w="3434"/>
        <w:gridCol w:w="3838"/>
      </w:tblGrid>
      <w:tr w:rsidR="00EB03CC" w:rsidRPr="00EB03CC" w14:paraId="40D97207" w14:textId="77777777" w:rsidTr="00A517F2">
        <w:trPr>
          <w:tblHeader/>
          <w:tblCellSpacing w:w="15" w:type="dxa"/>
        </w:trPr>
        <w:tc>
          <w:tcPr>
            <w:tcW w:w="0" w:type="auto"/>
            <w:vAlign w:val="center"/>
            <w:hideMark/>
          </w:tcPr>
          <w:p w14:paraId="5AC659FF" w14:textId="77777777" w:rsidR="00EB03CC" w:rsidRPr="00EB03CC" w:rsidRDefault="00EB03CC" w:rsidP="00A517F2">
            <w:pPr>
              <w:spacing w:after="0" w:line="240" w:lineRule="auto"/>
              <w:jc w:val="center"/>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Source Framework / Regulation</w:t>
            </w:r>
          </w:p>
        </w:tc>
        <w:tc>
          <w:tcPr>
            <w:tcW w:w="0" w:type="auto"/>
            <w:vAlign w:val="center"/>
            <w:hideMark/>
          </w:tcPr>
          <w:p w14:paraId="06777032" w14:textId="77777777" w:rsidR="00EB03CC" w:rsidRPr="00EB03CC" w:rsidRDefault="00EB03CC" w:rsidP="00A517F2">
            <w:pPr>
              <w:spacing w:after="0" w:line="240" w:lineRule="auto"/>
              <w:jc w:val="center"/>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Relevant Requirement</w:t>
            </w:r>
          </w:p>
        </w:tc>
        <w:tc>
          <w:tcPr>
            <w:tcW w:w="0" w:type="auto"/>
            <w:vAlign w:val="center"/>
            <w:hideMark/>
          </w:tcPr>
          <w:p w14:paraId="2F17D880" w14:textId="77777777" w:rsidR="00EB03CC" w:rsidRPr="00EB03CC" w:rsidRDefault="00EB03CC" w:rsidP="00A517F2">
            <w:pPr>
              <w:spacing w:after="0" w:line="240" w:lineRule="auto"/>
              <w:jc w:val="center"/>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How the PAM Control Supports It</w:t>
            </w:r>
          </w:p>
        </w:tc>
      </w:tr>
      <w:tr w:rsidR="00EB03CC" w:rsidRPr="00EB03CC" w14:paraId="00E86741" w14:textId="77777777" w:rsidTr="00A517F2">
        <w:trPr>
          <w:tblCellSpacing w:w="15" w:type="dxa"/>
        </w:trPr>
        <w:tc>
          <w:tcPr>
            <w:tcW w:w="0" w:type="auto"/>
            <w:vAlign w:val="center"/>
            <w:hideMark/>
          </w:tcPr>
          <w:p w14:paraId="70F853FA" w14:textId="77777777" w:rsidR="00EB03CC" w:rsidRPr="00EB03CC" w:rsidRDefault="00EB03CC" w:rsidP="00A517F2">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ISO/IEC 27001:2022</w:t>
            </w:r>
          </w:p>
        </w:tc>
        <w:tc>
          <w:tcPr>
            <w:tcW w:w="0" w:type="auto"/>
            <w:vAlign w:val="center"/>
            <w:hideMark/>
          </w:tcPr>
          <w:p w14:paraId="01BA8B12" w14:textId="77777777" w:rsidR="00EB03CC" w:rsidRPr="00EB03CC" w:rsidRDefault="00EB03CC" w:rsidP="00A517F2">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Access control and management of privileged access rights.</w:t>
            </w:r>
          </w:p>
        </w:tc>
        <w:tc>
          <w:tcPr>
            <w:tcW w:w="0" w:type="auto"/>
            <w:vAlign w:val="center"/>
            <w:hideMark/>
          </w:tcPr>
          <w:p w14:paraId="6C75DE92" w14:textId="468E64DB" w:rsidR="00EB03CC" w:rsidRPr="00EB03CC" w:rsidRDefault="00EB03CC" w:rsidP="00A517F2">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Ensures administrator accounts are </w:t>
            </w:r>
            <w:r w:rsidRPr="00EB03CC">
              <w:rPr>
                <w:rFonts w:ascii="Calibri" w:eastAsia="Times New Roman" w:hAnsi="Calibri" w:cs="Calibri"/>
                <w:kern w:val="0"/>
                <w:sz w:val="21"/>
                <w:szCs w:val="21"/>
                <w14:ligatures w14:val="none"/>
              </w:rPr>
              <w:t>authorized</w:t>
            </w:r>
            <w:r w:rsidRPr="00EB03CC">
              <w:rPr>
                <w:rFonts w:ascii="Calibri" w:eastAsia="Times New Roman" w:hAnsi="Calibri" w:cs="Calibri"/>
                <w:kern w:val="0"/>
                <w:sz w:val="21"/>
                <w:szCs w:val="21"/>
                <w14:ligatures w14:val="none"/>
              </w:rPr>
              <w:t>, restricted and reviewed periodically.</w:t>
            </w:r>
          </w:p>
        </w:tc>
      </w:tr>
      <w:tr w:rsidR="00EB03CC" w:rsidRPr="00EB03CC" w14:paraId="27FFF9E3" w14:textId="77777777" w:rsidTr="00A517F2">
        <w:trPr>
          <w:tblCellSpacing w:w="15" w:type="dxa"/>
        </w:trPr>
        <w:tc>
          <w:tcPr>
            <w:tcW w:w="0" w:type="auto"/>
            <w:vAlign w:val="center"/>
            <w:hideMark/>
          </w:tcPr>
          <w:p w14:paraId="6ECDD558" w14:textId="77777777" w:rsidR="00EB03CC" w:rsidRPr="00EB03CC" w:rsidRDefault="00EB03CC" w:rsidP="00A517F2">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NIST Cybersecurity Framework (CSF) 2.0</w:t>
            </w:r>
          </w:p>
        </w:tc>
        <w:tc>
          <w:tcPr>
            <w:tcW w:w="0" w:type="auto"/>
            <w:vAlign w:val="center"/>
            <w:hideMark/>
          </w:tcPr>
          <w:p w14:paraId="697E7BAA" w14:textId="77777777" w:rsidR="00EB03CC" w:rsidRPr="00EB03CC" w:rsidRDefault="00EB03CC" w:rsidP="00A517F2">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Identity management, authentication and access control practices.</w:t>
            </w:r>
          </w:p>
        </w:tc>
        <w:tc>
          <w:tcPr>
            <w:tcW w:w="0" w:type="auto"/>
            <w:vAlign w:val="center"/>
            <w:hideMark/>
          </w:tcPr>
          <w:p w14:paraId="345B2750" w14:textId="77777777" w:rsidR="00EB03CC" w:rsidRPr="00EB03CC" w:rsidRDefault="00EB03CC" w:rsidP="00A517F2">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Supports the management of user identities, authentication and protection of critical systems.</w:t>
            </w:r>
          </w:p>
        </w:tc>
      </w:tr>
      <w:tr w:rsidR="00EB03CC" w:rsidRPr="00EB03CC" w14:paraId="5C3FC8CE" w14:textId="77777777" w:rsidTr="00A517F2">
        <w:trPr>
          <w:tblCellSpacing w:w="15" w:type="dxa"/>
        </w:trPr>
        <w:tc>
          <w:tcPr>
            <w:tcW w:w="0" w:type="auto"/>
            <w:vAlign w:val="center"/>
            <w:hideMark/>
          </w:tcPr>
          <w:p w14:paraId="22223A6E" w14:textId="77777777" w:rsidR="00EB03CC" w:rsidRPr="00EB03CC" w:rsidRDefault="00EB03CC" w:rsidP="00A517F2">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COBIT 2019</w:t>
            </w:r>
          </w:p>
        </w:tc>
        <w:tc>
          <w:tcPr>
            <w:tcW w:w="0" w:type="auto"/>
            <w:vAlign w:val="center"/>
            <w:hideMark/>
          </w:tcPr>
          <w:p w14:paraId="162853F2" w14:textId="77777777" w:rsidR="00EB03CC" w:rsidRPr="00EB03CC" w:rsidRDefault="00EB03CC" w:rsidP="00A517F2">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Managed identity and access processes.</w:t>
            </w:r>
          </w:p>
        </w:tc>
        <w:tc>
          <w:tcPr>
            <w:tcW w:w="0" w:type="auto"/>
            <w:vAlign w:val="center"/>
            <w:hideMark/>
          </w:tcPr>
          <w:p w14:paraId="2429376B" w14:textId="77777777" w:rsidR="00EB03CC" w:rsidRPr="00EB03CC" w:rsidRDefault="00EB03CC" w:rsidP="00A517F2">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Provides governance by defining accountability, approval processes and monitoring of access rights.</w:t>
            </w:r>
          </w:p>
        </w:tc>
      </w:tr>
      <w:tr w:rsidR="00EB03CC" w:rsidRPr="00EB03CC" w14:paraId="0B21D256" w14:textId="77777777" w:rsidTr="00A517F2">
        <w:trPr>
          <w:tblCellSpacing w:w="15" w:type="dxa"/>
        </w:trPr>
        <w:tc>
          <w:tcPr>
            <w:tcW w:w="0" w:type="auto"/>
            <w:vAlign w:val="center"/>
            <w:hideMark/>
          </w:tcPr>
          <w:p w14:paraId="160764E0" w14:textId="77777777" w:rsidR="00EB03CC" w:rsidRPr="00EB03CC" w:rsidRDefault="00EB03CC" w:rsidP="00A517F2">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NIST SP 800-53</w:t>
            </w:r>
          </w:p>
        </w:tc>
        <w:tc>
          <w:tcPr>
            <w:tcW w:w="0" w:type="auto"/>
            <w:vAlign w:val="center"/>
            <w:hideMark/>
          </w:tcPr>
          <w:p w14:paraId="34B59747" w14:textId="77777777" w:rsidR="00EB03CC" w:rsidRPr="00EB03CC" w:rsidRDefault="00EB03CC" w:rsidP="00A517F2">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Access Control (AC) family controls, including account management and least privilege.</w:t>
            </w:r>
          </w:p>
        </w:tc>
        <w:tc>
          <w:tcPr>
            <w:tcW w:w="0" w:type="auto"/>
            <w:vAlign w:val="center"/>
            <w:hideMark/>
          </w:tcPr>
          <w:p w14:paraId="35795795" w14:textId="77777777" w:rsidR="00EB03CC" w:rsidRPr="00EB03CC" w:rsidRDefault="00EB03CC" w:rsidP="00A517F2">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Ensures privileged accounts are limited, approved and monitored according to security requirements.</w:t>
            </w:r>
          </w:p>
        </w:tc>
      </w:tr>
      <w:tr w:rsidR="00EB03CC" w:rsidRPr="00EB03CC" w14:paraId="664E524A" w14:textId="77777777" w:rsidTr="00A517F2">
        <w:trPr>
          <w:tblCellSpacing w:w="15" w:type="dxa"/>
        </w:trPr>
        <w:tc>
          <w:tcPr>
            <w:tcW w:w="0" w:type="auto"/>
            <w:vAlign w:val="center"/>
            <w:hideMark/>
          </w:tcPr>
          <w:p w14:paraId="2B8EF39A" w14:textId="77777777" w:rsidR="00EB03CC" w:rsidRPr="00EB03CC" w:rsidRDefault="00EB03CC" w:rsidP="00A517F2">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Nigeria Data Protection Act (NDPA) 2023</w:t>
            </w:r>
          </w:p>
        </w:tc>
        <w:tc>
          <w:tcPr>
            <w:tcW w:w="0" w:type="auto"/>
            <w:vAlign w:val="center"/>
            <w:hideMark/>
          </w:tcPr>
          <w:p w14:paraId="262423ED" w14:textId="36E10900" w:rsidR="00EB03CC" w:rsidRPr="00EB03CC" w:rsidRDefault="00EB03CC" w:rsidP="00A517F2">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Protection of personal data through appropriate technical and </w:t>
            </w:r>
            <w:r w:rsidRPr="00EB03CC">
              <w:rPr>
                <w:rFonts w:ascii="Calibri" w:eastAsia="Times New Roman" w:hAnsi="Calibri" w:cs="Calibri"/>
                <w:kern w:val="0"/>
                <w:sz w:val="21"/>
                <w:szCs w:val="21"/>
                <w14:ligatures w14:val="none"/>
              </w:rPr>
              <w:t>organizational</w:t>
            </w:r>
            <w:r w:rsidRPr="00EB03CC">
              <w:rPr>
                <w:rFonts w:ascii="Calibri" w:eastAsia="Times New Roman" w:hAnsi="Calibri" w:cs="Calibri"/>
                <w:kern w:val="0"/>
                <w:sz w:val="21"/>
                <w:szCs w:val="21"/>
                <w14:ligatures w14:val="none"/>
              </w:rPr>
              <w:t xml:space="preserve"> measures.</w:t>
            </w:r>
          </w:p>
        </w:tc>
        <w:tc>
          <w:tcPr>
            <w:tcW w:w="0" w:type="auto"/>
            <w:vAlign w:val="center"/>
            <w:hideMark/>
          </w:tcPr>
          <w:p w14:paraId="538311CA" w14:textId="764DCE7E" w:rsidR="00EB03CC" w:rsidRPr="00EB03CC" w:rsidRDefault="00EB03CC" w:rsidP="00A517F2">
            <w:pPr>
              <w:spacing w:after="0"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Reduces the possibility of </w:t>
            </w:r>
            <w:r w:rsidRPr="00EB03CC">
              <w:rPr>
                <w:rFonts w:ascii="Calibri" w:eastAsia="Times New Roman" w:hAnsi="Calibri" w:cs="Calibri"/>
                <w:kern w:val="0"/>
                <w:sz w:val="21"/>
                <w:szCs w:val="21"/>
                <w14:ligatures w14:val="none"/>
              </w:rPr>
              <w:t>unauthorized</w:t>
            </w:r>
            <w:r w:rsidRPr="00EB03CC">
              <w:rPr>
                <w:rFonts w:ascii="Calibri" w:eastAsia="Times New Roman" w:hAnsi="Calibri" w:cs="Calibri"/>
                <w:kern w:val="0"/>
                <w:sz w:val="21"/>
                <w:szCs w:val="21"/>
                <w14:ligatures w14:val="none"/>
              </w:rPr>
              <w:t xml:space="preserve"> access to systems containing personal information.</w:t>
            </w:r>
          </w:p>
        </w:tc>
      </w:tr>
    </w:tbl>
    <w:p w14:paraId="589B5986" w14:textId="77777777" w:rsidR="00EB03CC" w:rsidRPr="00EB03CC" w:rsidRDefault="00EB03CC" w:rsidP="00854F0C">
      <w:pPr>
        <w:spacing w:before="100" w:beforeAutospacing="1" w:after="100" w:afterAutospacing="1" w:line="240" w:lineRule="auto"/>
        <w:outlineLvl w:val="2"/>
        <w:rPr>
          <w:rFonts w:ascii="Calibri" w:eastAsia="Times New Roman" w:hAnsi="Calibri" w:cs="Calibri"/>
          <w:b/>
          <w:bCs/>
          <w:kern w:val="0"/>
          <w:sz w:val="21"/>
          <w:szCs w:val="21"/>
          <w14:ligatures w14:val="none"/>
        </w:rPr>
      </w:pPr>
    </w:p>
    <w:p w14:paraId="5B9DB9F2" w14:textId="77777777" w:rsidR="00854F0C" w:rsidRPr="00EB03CC" w:rsidRDefault="00854F0C" w:rsidP="00854F0C">
      <w:pPr>
        <w:spacing w:before="100" w:beforeAutospacing="1" w:after="100" w:afterAutospacing="1" w:line="240" w:lineRule="auto"/>
        <w:outlineLvl w:val="0"/>
        <w:rPr>
          <w:rFonts w:ascii="Calibri" w:eastAsia="Times New Roman" w:hAnsi="Calibri" w:cs="Calibri"/>
          <w:b/>
          <w:bCs/>
          <w:kern w:val="36"/>
          <w:sz w:val="21"/>
          <w:szCs w:val="21"/>
          <w14:ligatures w14:val="none"/>
        </w:rPr>
      </w:pPr>
      <w:r w:rsidRPr="00EB03CC">
        <w:rPr>
          <w:rFonts w:ascii="Calibri" w:eastAsia="Times New Roman" w:hAnsi="Calibri" w:cs="Calibri"/>
          <w:b/>
          <w:bCs/>
          <w:kern w:val="36"/>
          <w:sz w:val="21"/>
          <w:szCs w:val="21"/>
          <w14:ligatures w14:val="none"/>
        </w:rPr>
        <w:t>Question 6: “GRC Succeeds or Fails in the Business Unit”</w:t>
      </w:r>
    </w:p>
    <w:p w14:paraId="4CF35C1E" w14:textId="77777777" w:rsidR="00854F0C" w:rsidRPr="00EB03CC" w:rsidRDefault="00854F0C" w:rsidP="00854F0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The statement, </w:t>
      </w:r>
      <w:r w:rsidRPr="00EB03CC">
        <w:rPr>
          <w:rFonts w:ascii="Calibri" w:eastAsia="Times New Roman" w:hAnsi="Calibri" w:cs="Calibri"/>
          <w:i/>
          <w:iCs/>
          <w:kern w:val="0"/>
          <w:sz w:val="21"/>
          <w:szCs w:val="21"/>
          <w14:ligatures w14:val="none"/>
        </w:rPr>
        <w:t>“Policy is written at the centre, but risk is taken and controls are performed at the edge,”</w:t>
      </w:r>
      <w:r w:rsidRPr="00EB03CC">
        <w:rPr>
          <w:rFonts w:ascii="Calibri" w:eastAsia="Times New Roman" w:hAnsi="Calibri" w:cs="Calibri"/>
          <w:kern w:val="0"/>
          <w:sz w:val="21"/>
          <w:szCs w:val="21"/>
          <w14:ligatures w14:val="none"/>
        </w:rPr>
        <w:t xml:space="preserve"> highlights an important reality of Governance, Risk and Compliance (GRC). Although policies, standards and frameworks are usually created by central functions such as Governance, Risk, Compliance and Security teams, the day-to-day decisions that create or reduce risk are made by business units. Employees, managers and operational teams are the people who use systems, handle information and perform processes. Therefore, the success of GRC depends heavily on how well these teams understand and apply their responsibilities.</w:t>
      </w:r>
    </w:p>
    <w:p w14:paraId="2F21D79F" w14:textId="77777777" w:rsidR="00854F0C" w:rsidRPr="00EB03CC" w:rsidRDefault="00854F0C" w:rsidP="00854F0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Central teams provide direction by developing policies, defining control requirements and establishing governance structures. For example, an Information Security team may create an access management policy requiring least privilege and regular access reviews. However, the policy alone does not reduce risk. The business units and technology teams must apply the control by ensuring users only receive the access they require and removing access when it is no longer needed.</w:t>
      </w:r>
    </w:p>
    <w:p w14:paraId="4059B7BE" w14:textId="4D5D6F39" w:rsidR="00854F0C" w:rsidRPr="00EB03CC" w:rsidRDefault="00854F0C" w:rsidP="00854F0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This is where business-unit management becomes important. Managers are responsible for understanding the risks associated with their operations and ensuring that appropriate controls are performed. They are not expected to eliminate all risks, because business activities naturally involve some level of uncertainty. Instead, they should make informed decisions that align with the </w:t>
      </w:r>
      <w:r w:rsidR="00EB03CC" w:rsidRPr="00EB03CC">
        <w:rPr>
          <w:rFonts w:ascii="Calibri" w:eastAsia="Times New Roman" w:hAnsi="Calibri" w:cs="Calibri"/>
          <w:kern w:val="0"/>
          <w:sz w:val="21"/>
          <w:szCs w:val="21"/>
          <w14:ligatures w14:val="none"/>
        </w:rPr>
        <w:t>organization’s</w:t>
      </w:r>
      <w:r w:rsidRPr="00EB03CC">
        <w:rPr>
          <w:rFonts w:ascii="Calibri" w:eastAsia="Times New Roman" w:hAnsi="Calibri" w:cs="Calibri"/>
          <w:kern w:val="0"/>
          <w:sz w:val="21"/>
          <w:szCs w:val="21"/>
          <w14:ligatures w14:val="none"/>
        </w:rPr>
        <w:t xml:space="preserve"> risk appetite.</w:t>
      </w:r>
    </w:p>
    <w:p w14:paraId="4CEACAB7" w14:textId="28E60958" w:rsidR="00854F0C" w:rsidRPr="00EB03CC" w:rsidRDefault="00854F0C" w:rsidP="00854F0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The culture of the </w:t>
      </w:r>
      <w:r w:rsidR="00EB03CC" w:rsidRPr="00EB03CC">
        <w:rPr>
          <w:rFonts w:ascii="Calibri" w:eastAsia="Times New Roman" w:hAnsi="Calibri" w:cs="Calibri"/>
          <w:kern w:val="0"/>
          <w:sz w:val="21"/>
          <w:szCs w:val="21"/>
          <w14:ligatures w14:val="none"/>
        </w:rPr>
        <w:t>organization</w:t>
      </w:r>
      <w:r w:rsidRPr="00EB03CC">
        <w:rPr>
          <w:rFonts w:ascii="Calibri" w:eastAsia="Times New Roman" w:hAnsi="Calibri" w:cs="Calibri"/>
          <w:kern w:val="0"/>
          <w:sz w:val="21"/>
          <w:szCs w:val="21"/>
          <w14:ligatures w14:val="none"/>
        </w:rPr>
        <w:t xml:space="preserve"> also plays a major role in whether GRC succeeds. A strong compliance culture encourages employees to view controls as part of normal business activities rather than unnecessary </w:t>
      </w:r>
      <w:r w:rsidRPr="00EB03CC">
        <w:rPr>
          <w:rFonts w:ascii="Calibri" w:eastAsia="Times New Roman" w:hAnsi="Calibri" w:cs="Calibri"/>
          <w:kern w:val="0"/>
          <w:sz w:val="21"/>
          <w:szCs w:val="21"/>
          <w14:ligatures w14:val="none"/>
        </w:rPr>
        <w:lastRenderedPageBreak/>
        <w:t>administrative tasks. For example, security awareness training, reporting suspicious activities and following approval processes should be seen as supporting business objectives rather than slowing down productivity. If employees believe that meeting targets is more important than following controls, risk exposure increases.</w:t>
      </w:r>
    </w:p>
    <w:p w14:paraId="666FAE63" w14:textId="4B3BF230" w:rsidR="00854F0C" w:rsidRPr="00EB03CC" w:rsidRDefault="00854F0C" w:rsidP="00854F0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Incentives and performance measures can influence employee </w:t>
      </w:r>
      <w:r w:rsidR="00EB03CC" w:rsidRPr="00EB03CC">
        <w:rPr>
          <w:rFonts w:ascii="Calibri" w:eastAsia="Times New Roman" w:hAnsi="Calibri" w:cs="Calibri"/>
          <w:kern w:val="0"/>
          <w:sz w:val="21"/>
          <w:szCs w:val="21"/>
          <w14:ligatures w14:val="none"/>
        </w:rPr>
        <w:t>behavior</w:t>
      </w:r>
      <w:r w:rsidRPr="00EB03CC">
        <w:rPr>
          <w:rFonts w:ascii="Calibri" w:eastAsia="Times New Roman" w:hAnsi="Calibri" w:cs="Calibri"/>
          <w:kern w:val="0"/>
          <w:sz w:val="21"/>
          <w:szCs w:val="21"/>
          <w14:ligatures w14:val="none"/>
        </w:rPr>
        <w:t xml:space="preserve">. If teams are rewarded only for delivering projects quickly without considering security and compliance requirements, they may bypass important controls. </w:t>
      </w:r>
      <w:r w:rsidR="00EB03CC" w:rsidRPr="00EB03CC">
        <w:rPr>
          <w:rFonts w:ascii="Calibri" w:eastAsia="Times New Roman" w:hAnsi="Calibri" w:cs="Calibri"/>
          <w:kern w:val="0"/>
          <w:sz w:val="21"/>
          <w:szCs w:val="21"/>
          <w14:ligatures w14:val="none"/>
        </w:rPr>
        <w:t>Organizations</w:t>
      </w:r>
      <w:r w:rsidRPr="00EB03CC">
        <w:rPr>
          <w:rFonts w:ascii="Calibri" w:eastAsia="Times New Roman" w:hAnsi="Calibri" w:cs="Calibri"/>
          <w:kern w:val="0"/>
          <w:sz w:val="21"/>
          <w:szCs w:val="21"/>
          <w14:ligatures w14:val="none"/>
        </w:rPr>
        <w:t xml:space="preserve"> should therefore balance business performance targets with risk management responsibilities. This approach supports the principles of COBIT 2019, which </w:t>
      </w:r>
      <w:r w:rsidR="00EB03CC" w:rsidRPr="00EB03CC">
        <w:rPr>
          <w:rFonts w:ascii="Calibri" w:eastAsia="Times New Roman" w:hAnsi="Calibri" w:cs="Calibri"/>
          <w:kern w:val="0"/>
          <w:sz w:val="21"/>
          <w:szCs w:val="21"/>
          <w14:ligatures w14:val="none"/>
        </w:rPr>
        <w:t>emphasizes</w:t>
      </w:r>
      <w:r w:rsidRPr="00EB03CC">
        <w:rPr>
          <w:rFonts w:ascii="Calibri" w:eastAsia="Times New Roman" w:hAnsi="Calibri" w:cs="Calibri"/>
          <w:kern w:val="0"/>
          <w:sz w:val="21"/>
          <w:szCs w:val="21"/>
          <w14:ligatures w14:val="none"/>
        </w:rPr>
        <w:t xml:space="preserve"> aligning technology decisions with </w:t>
      </w:r>
      <w:r w:rsidR="00EB03CC" w:rsidRPr="00EB03CC">
        <w:rPr>
          <w:rFonts w:ascii="Calibri" w:eastAsia="Times New Roman" w:hAnsi="Calibri" w:cs="Calibri"/>
          <w:kern w:val="0"/>
          <w:sz w:val="21"/>
          <w:szCs w:val="21"/>
          <w14:ligatures w14:val="none"/>
        </w:rPr>
        <w:t>organizational</w:t>
      </w:r>
      <w:r w:rsidRPr="00EB03CC">
        <w:rPr>
          <w:rFonts w:ascii="Calibri" w:eastAsia="Times New Roman" w:hAnsi="Calibri" w:cs="Calibri"/>
          <w:kern w:val="0"/>
          <w:sz w:val="21"/>
          <w:szCs w:val="21"/>
          <w14:ligatures w14:val="none"/>
        </w:rPr>
        <w:t xml:space="preserve"> objectives and accountability.</w:t>
      </w:r>
    </w:p>
    <w:p w14:paraId="6581F8FC" w14:textId="7D8950B3" w:rsidR="00854F0C" w:rsidRPr="00EB03CC" w:rsidRDefault="00854F0C" w:rsidP="00854F0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Risk registers are another important tool that connects business activities with GRC processes. A risk register allows business units to record identified risks, assess their likelihood and impact, assign owners and track treatment actions. For example, during the implementation of a cloud-based customer portal, a business unit may identify risks related to </w:t>
      </w:r>
      <w:r w:rsidR="00EB03CC" w:rsidRPr="00EB03CC">
        <w:rPr>
          <w:rFonts w:ascii="Calibri" w:eastAsia="Times New Roman" w:hAnsi="Calibri" w:cs="Calibri"/>
          <w:kern w:val="0"/>
          <w:sz w:val="21"/>
          <w:szCs w:val="21"/>
          <w14:ligatures w14:val="none"/>
        </w:rPr>
        <w:t>unauthorized</w:t>
      </w:r>
      <w:r w:rsidRPr="00EB03CC">
        <w:rPr>
          <w:rFonts w:ascii="Calibri" w:eastAsia="Times New Roman" w:hAnsi="Calibri" w:cs="Calibri"/>
          <w:kern w:val="0"/>
          <w:sz w:val="21"/>
          <w:szCs w:val="21"/>
          <w14:ligatures w14:val="none"/>
        </w:rPr>
        <w:t xml:space="preserve"> access, data privacy, service availability and certificate management. These risks should have assigned owners who are responsible for ensuring appropriate controls are implemented.</w:t>
      </w:r>
    </w:p>
    <w:p w14:paraId="4639C066" w14:textId="77777777" w:rsidR="00854F0C" w:rsidRPr="00EB03CC" w:rsidRDefault="00854F0C" w:rsidP="00854F0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Clear control ownership is essential because a control without an owner is unlikely to operate effectively. The business owner, rather than the compliance team, should understand how the process works and be responsible for ensuring controls are performed. For example, in an identity and access management process, IT operations may perform access changes, managers may approve access requests, and the security team may monitor compliance. Each role has a different responsibility.</w:t>
      </w:r>
    </w:p>
    <w:p w14:paraId="3096F5A1" w14:textId="5E807DB1" w:rsidR="00854F0C" w:rsidRPr="00EB03CC" w:rsidRDefault="00854F0C" w:rsidP="00854F0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Effective GRC also requires timely escalation when risks exceed acceptable levels. Employees and managers should know when an issue requires senior management attention. Delayed escalation can allow small control weaknesses to develop into major incidents. Frameworks such as ISO 31000 encourage </w:t>
      </w:r>
      <w:r w:rsidR="00EB03CC" w:rsidRPr="00EB03CC">
        <w:rPr>
          <w:rFonts w:ascii="Calibri" w:eastAsia="Times New Roman" w:hAnsi="Calibri" w:cs="Calibri"/>
          <w:kern w:val="0"/>
          <w:sz w:val="21"/>
          <w:szCs w:val="21"/>
          <w14:ligatures w14:val="none"/>
        </w:rPr>
        <w:t>organizations</w:t>
      </w:r>
      <w:r w:rsidRPr="00EB03CC">
        <w:rPr>
          <w:rFonts w:ascii="Calibri" w:eastAsia="Times New Roman" w:hAnsi="Calibri" w:cs="Calibri"/>
          <w:kern w:val="0"/>
          <w:sz w:val="21"/>
          <w:szCs w:val="21"/>
          <w14:ligatures w14:val="none"/>
        </w:rPr>
        <w:t xml:space="preserve"> to continuously identify, assess and communicate risks so that management can make informed decisions.</w:t>
      </w:r>
    </w:p>
    <w:p w14:paraId="2A59DC89" w14:textId="254F1EC8" w:rsidR="00854F0C" w:rsidRPr="00EB03CC" w:rsidRDefault="00854F0C" w:rsidP="00854F0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Evidence is another critical component of GRC because </w:t>
      </w:r>
      <w:r w:rsidR="00EB03CC" w:rsidRPr="00EB03CC">
        <w:rPr>
          <w:rFonts w:ascii="Calibri" w:eastAsia="Times New Roman" w:hAnsi="Calibri" w:cs="Calibri"/>
          <w:kern w:val="0"/>
          <w:sz w:val="21"/>
          <w:szCs w:val="21"/>
          <w14:ligatures w14:val="none"/>
        </w:rPr>
        <w:t>organizations</w:t>
      </w:r>
      <w:r w:rsidRPr="00EB03CC">
        <w:rPr>
          <w:rFonts w:ascii="Calibri" w:eastAsia="Times New Roman" w:hAnsi="Calibri" w:cs="Calibri"/>
          <w:kern w:val="0"/>
          <w:sz w:val="21"/>
          <w:szCs w:val="21"/>
          <w14:ligatures w14:val="none"/>
        </w:rPr>
        <w:t xml:space="preserve"> must be able to demonstrate that controls are working. Examples of evidence include access review records, vulnerability assessment reports, audit logs, security test results and management approvals. ISO/IEC 27001 places strong emphasis on maintaining documented information and demonstrating that security controls are operating effectively.</w:t>
      </w:r>
    </w:p>
    <w:p w14:paraId="546E2C57" w14:textId="7EB65E6A" w:rsidR="00854F0C" w:rsidRPr="00EB03CC" w:rsidRDefault="00854F0C" w:rsidP="00854F0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Management review completes the GRC cycle by allowing leadership to evaluate whether controls remain effective and whether changes are required. Reviewing incidents, audit findings, key risk indicators and compliance performance </w:t>
      </w:r>
      <w:r w:rsidR="00EB03CC" w:rsidRPr="00EB03CC">
        <w:rPr>
          <w:rFonts w:ascii="Calibri" w:eastAsia="Times New Roman" w:hAnsi="Calibri" w:cs="Calibri"/>
          <w:kern w:val="0"/>
          <w:sz w:val="21"/>
          <w:szCs w:val="21"/>
          <w14:ligatures w14:val="none"/>
        </w:rPr>
        <w:t>enable</w:t>
      </w:r>
      <w:r w:rsidRPr="00EB03CC">
        <w:rPr>
          <w:rFonts w:ascii="Calibri" w:eastAsia="Times New Roman" w:hAnsi="Calibri" w:cs="Calibri"/>
          <w:kern w:val="0"/>
          <w:sz w:val="21"/>
          <w:szCs w:val="21"/>
          <w14:ligatures w14:val="none"/>
        </w:rPr>
        <w:t xml:space="preserve"> </w:t>
      </w:r>
      <w:r w:rsidR="00EB03CC" w:rsidRPr="00EB03CC">
        <w:rPr>
          <w:rFonts w:ascii="Calibri" w:eastAsia="Times New Roman" w:hAnsi="Calibri" w:cs="Calibri"/>
          <w:kern w:val="0"/>
          <w:sz w:val="21"/>
          <w:szCs w:val="21"/>
          <w14:ligatures w14:val="none"/>
        </w:rPr>
        <w:t>organizations</w:t>
      </w:r>
      <w:r w:rsidRPr="00EB03CC">
        <w:rPr>
          <w:rFonts w:ascii="Calibri" w:eastAsia="Times New Roman" w:hAnsi="Calibri" w:cs="Calibri"/>
          <w:kern w:val="0"/>
          <w:sz w:val="21"/>
          <w:szCs w:val="21"/>
          <w14:ligatures w14:val="none"/>
        </w:rPr>
        <w:t xml:space="preserve"> to improve continuously. The NIST Cybersecurity Framework also supports this approach by encouraging </w:t>
      </w:r>
      <w:r w:rsidR="00EB03CC" w:rsidRPr="00EB03CC">
        <w:rPr>
          <w:rFonts w:ascii="Calibri" w:eastAsia="Times New Roman" w:hAnsi="Calibri" w:cs="Calibri"/>
          <w:kern w:val="0"/>
          <w:sz w:val="21"/>
          <w:szCs w:val="21"/>
          <w14:ligatures w14:val="none"/>
        </w:rPr>
        <w:t>organizations</w:t>
      </w:r>
      <w:r w:rsidRPr="00EB03CC">
        <w:rPr>
          <w:rFonts w:ascii="Calibri" w:eastAsia="Times New Roman" w:hAnsi="Calibri" w:cs="Calibri"/>
          <w:kern w:val="0"/>
          <w:sz w:val="21"/>
          <w:szCs w:val="21"/>
          <w14:ligatures w14:val="none"/>
        </w:rPr>
        <w:t xml:space="preserve"> to identify, protect, detect, respond and recover from cybersecurity risks.</w:t>
      </w:r>
    </w:p>
    <w:p w14:paraId="21A7E4C4" w14:textId="02C7BFB9" w:rsidR="00854F0C" w:rsidRPr="00EB03CC" w:rsidRDefault="00854F0C" w:rsidP="00854F0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In conclusion, GRC cannot succeed through policies alone. Policies provide direction, but the effectiveness of GRC depends on how business units apply controls and make decisions every day. The centre of the </w:t>
      </w:r>
      <w:r w:rsidR="00EB03CC" w:rsidRPr="00EB03CC">
        <w:rPr>
          <w:rFonts w:ascii="Calibri" w:eastAsia="Times New Roman" w:hAnsi="Calibri" w:cs="Calibri"/>
          <w:kern w:val="0"/>
          <w:sz w:val="21"/>
          <w:szCs w:val="21"/>
          <w14:ligatures w14:val="none"/>
        </w:rPr>
        <w:t>organization</w:t>
      </w:r>
      <w:r w:rsidRPr="00EB03CC">
        <w:rPr>
          <w:rFonts w:ascii="Calibri" w:eastAsia="Times New Roman" w:hAnsi="Calibri" w:cs="Calibri"/>
          <w:kern w:val="0"/>
          <w:sz w:val="21"/>
          <w:szCs w:val="21"/>
          <w14:ligatures w14:val="none"/>
        </w:rPr>
        <w:t xml:space="preserve"> creates the framework, but the edge determines whether risks are properly managed.</w:t>
      </w:r>
    </w:p>
    <w:p w14:paraId="410000E7" w14:textId="77777777" w:rsidR="00854F0C" w:rsidRPr="00EB03CC" w:rsidRDefault="00854F0C" w:rsidP="00854F0C">
      <w:pPr>
        <w:spacing w:before="100" w:beforeAutospacing="1" w:after="100" w:afterAutospacing="1" w:line="240" w:lineRule="auto"/>
        <w:outlineLvl w:val="1"/>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Practical actions a business-unit leader should take in the next 90 days</w:t>
      </w:r>
    </w:p>
    <w:p w14:paraId="382F859F" w14:textId="77777777" w:rsidR="00854F0C" w:rsidRPr="00EB03CC" w:rsidRDefault="00854F0C" w:rsidP="00854F0C">
      <w:pPr>
        <w:numPr>
          <w:ilvl w:val="0"/>
          <w:numId w:val="5"/>
        </w:num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Review the business unit risk register</w:t>
      </w:r>
      <w:r w:rsidRPr="00EB03CC">
        <w:rPr>
          <w:rFonts w:ascii="Calibri" w:eastAsia="Times New Roman" w:hAnsi="Calibri" w:cs="Calibri"/>
          <w:kern w:val="0"/>
          <w:sz w:val="21"/>
          <w:szCs w:val="21"/>
          <w14:ligatures w14:val="none"/>
        </w:rPr>
        <w:t xml:space="preserve"> and ensure major operational, cybersecurity and compliance risks have clear owners and treatment plans. </w:t>
      </w:r>
    </w:p>
    <w:p w14:paraId="1225E73A" w14:textId="77777777" w:rsidR="00854F0C" w:rsidRPr="00EB03CC" w:rsidRDefault="00854F0C" w:rsidP="00854F0C">
      <w:pPr>
        <w:numPr>
          <w:ilvl w:val="0"/>
          <w:numId w:val="5"/>
        </w:num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Perform a control ownership review</w:t>
      </w:r>
      <w:r w:rsidRPr="00EB03CC">
        <w:rPr>
          <w:rFonts w:ascii="Calibri" w:eastAsia="Times New Roman" w:hAnsi="Calibri" w:cs="Calibri"/>
          <w:kern w:val="0"/>
          <w:sz w:val="21"/>
          <w:szCs w:val="21"/>
          <w14:ligatures w14:val="none"/>
        </w:rPr>
        <w:t xml:space="preserve"> to confirm that every important control has a responsible person who understands their accountability. </w:t>
      </w:r>
    </w:p>
    <w:p w14:paraId="532453F7" w14:textId="77777777" w:rsidR="00854F0C" w:rsidRPr="00EB03CC" w:rsidRDefault="00854F0C" w:rsidP="00854F0C">
      <w:pPr>
        <w:numPr>
          <w:ilvl w:val="0"/>
          <w:numId w:val="5"/>
        </w:num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lastRenderedPageBreak/>
        <w:t>Conduct access and security control reviews</w:t>
      </w:r>
      <w:r w:rsidRPr="00EB03CC">
        <w:rPr>
          <w:rFonts w:ascii="Calibri" w:eastAsia="Times New Roman" w:hAnsi="Calibri" w:cs="Calibri"/>
          <w:kern w:val="0"/>
          <w:sz w:val="21"/>
          <w:szCs w:val="21"/>
          <w14:ligatures w14:val="none"/>
        </w:rPr>
        <w:t xml:space="preserve"> to identify unnecessary privileges, outdated accounts and process weaknesses. </w:t>
      </w:r>
    </w:p>
    <w:p w14:paraId="33B617E7" w14:textId="5762FBC5" w:rsidR="00854F0C" w:rsidRPr="00EB03CC" w:rsidRDefault="00854F0C" w:rsidP="00854F0C">
      <w:pPr>
        <w:numPr>
          <w:ilvl w:val="0"/>
          <w:numId w:val="5"/>
        </w:num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Improve risk awareness within the team</w:t>
      </w:r>
      <w:r w:rsidRPr="00EB03CC">
        <w:rPr>
          <w:rFonts w:ascii="Calibri" w:eastAsia="Times New Roman" w:hAnsi="Calibri" w:cs="Calibri"/>
          <w:kern w:val="0"/>
          <w:sz w:val="21"/>
          <w:szCs w:val="21"/>
          <w14:ligatures w14:val="none"/>
        </w:rPr>
        <w:t xml:space="preserve"> through targeted training and discussions that connect daily activities with </w:t>
      </w:r>
      <w:r w:rsidR="00EB03CC" w:rsidRPr="00EB03CC">
        <w:rPr>
          <w:rFonts w:ascii="Calibri" w:eastAsia="Times New Roman" w:hAnsi="Calibri" w:cs="Calibri"/>
          <w:kern w:val="0"/>
          <w:sz w:val="21"/>
          <w:szCs w:val="21"/>
          <w14:ligatures w14:val="none"/>
        </w:rPr>
        <w:t>organizational</w:t>
      </w:r>
      <w:r w:rsidRPr="00EB03CC">
        <w:rPr>
          <w:rFonts w:ascii="Calibri" w:eastAsia="Times New Roman" w:hAnsi="Calibri" w:cs="Calibri"/>
          <w:kern w:val="0"/>
          <w:sz w:val="21"/>
          <w:szCs w:val="21"/>
          <w14:ligatures w14:val="none"/>
        </w:rPr>
        <w:t xml:space="preserve"> risks. </w:t>
      </w:r>
    </w:p>
    <w:p w14:paraId="6BBFC558" w14:textId="77777777" w:rsidR="00854F0C" w:rsidRPr="00EB03CC" w:rsidRDefault="00854F0C" w:rsidP="00854F0C">
      <w:pPr>
        <w:numPr>
          <w:ilvl w:val="0"/>
          <w:numId w:val="5"/>
        </w:num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Establish regular management reviews</w:t>
      </w:r>
      <w:r w:rsidRPr="00EB03CC">
        <w:rPr>
          <w:rFonts w:ascii="Calibri" w:eastAsia="Times New Roman" w:hAnsi="Calibri" w:cs="Calibri"/>
          <w:kern w:val="0"/>
          <w:sz w:val="21"/>
          <w:szCs w:val="21"/>
          <w14:ligatures w14:val="none"/>
        </w:rPr>
        <w:t xml:space="preserve"> where risks, incidents, control performance and improvement actions are discussed and tracked. </w:t>
      </w:r>
    </w:p>
    <w:p w14:paraId="00457820" w14:textId="3E949653" w:rsidR="00854F0C" w:rsidRPr="00EB03CC" w:rsidRDefault="00854F0C" w:rsidP="00EB03C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By taking these actions, business leaders move GRC from being a compliance activity managed by central teams into a shared </w:t>
      </w:r>
      <w:r w:rsidR="00EB03CC" w:rsidRPr="00EB03CC">
        <w:rPr>
          <w:rFonts w:ascii="Calibri" w:eastAsia="Times New Roman" w:hAnsi="Calibri" w:cs="Calibri"/>
          <w:kern w:val="0"/>
          <w:sz w:val="21"/>
          <w:szCs w:val="21"/>
          <w14:ligatures w14:val="none"/>
        </w:rPr>
        <w:t>organizational</w:t>
      </w:r>
      <w:r w:rsidRPr="00EB03CC">
        <w:rPr>
          <w:rFonts w:ascii="Calibri" w:eastAsia="Times New Roman" w:hAnsi="Calibri" w:cs="Calibri"/>
          <w:kern w:val="0"/>
          <w:sz w:val="21"/>
          <w:szCs w:val="21"/>
          <w14:ligatures w14:val="none"/>
        </w:rPr>
        <w:t xml:space="preserve"> capability that supports secure and sustainable business growth.</w:t>
      </w:r>
    </w:p>
    <w:p w14:paraId="041E00DA" w14:textId="77777777" w:rsidR="00854F0C" w:rsidRPr="00EB03CC" w:rsidRDefault="00854F0C" w:rsidP="00854F0C">
      <w:pPr>
        <w:spacing w:before="100" w:beforeAutospacing="1" w:after="100" w:afterAutospacing="1" w:line="240" w:lineRule="auto"/>
        <w:outlineLvl w:val="0"/>
        <w:rPr>
          <w:rFonts w:ascii="Calibri" w:eastAsia="Times New Roman" w:hAnsi="Calibri" w:cs="Calibri"/>
          <w:b/>
          <w:bCs/>
          <w:kern w:val="36"/>
          <w:sz w:val="21"/>
          <w:szCs w:val="21"/>
          <w14:ligatures w14:val="none"/>
        </w:rPr>
      </w:pPr>
      <w:r w:rsidRPr="00EB03CC">
        <w:rPr>
          <w:rFonts w:ascii="Calibri" w:eastAsia="Times New Roman" w:hAnsi="Calibri" w:cs="Calibri"/>
          <w:b/>
          <w:bCs/>
          <w:kern w:val="36"/>
          <w:sz w:val="21"/>
          <w:szCs w:val="21"/>
          <w14:ligatures w14:val="none"/>
        </w:rPr>
        <w:t>Control Evidence</w:t>
      </w:r>
    </w:p>
    <w:p w14:paraId="0E135888" w14:textId="77777777" w:rsidR="00854F0C" w:rsidRPr="00EB03CC" w:rsidRDefault="00854F0C" w:rsidP="00854F0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Examples of evidence that could demonstrate the control is operating effectively include:</w:t>
      </w:r>
    </w:p>
    <w:p w14:paraId="17381723" w14:textId="77777777" w:rsidR="00854F0C" w:rsidRPr="00EB03CC" w:rsidRDefault="00854F0C" w:rsidP="00854F0C">
      <w:pPr>
        <w:numPr>
          <w:ilvl w:val="0"/>
          <w:numId w:val="2"/>
        </w:num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Privileged account access review reports</w:t>
      </w:r>
      <w:r w:rsidRPr="00EB03CC">
        <w:rPr>
          <w:rFonts w:ascii="Calibri" w:eastAsia="Times New Roman" w:hAnsi="Calibri" w:cs="Calibri"/>
          <w:kern w:val="0"/>
          <w:sz w:val="21"/>
          <w:szCs w:val="21"/>
          <w14:ligatures w14:val="none"/>
        </w:rPr>
        <w:t xml:space="preserve"> showing that administrator permissions are reviewed regularly. </w:t>
      </w:r>
    </w:p>
    <w:p w14:paraId="5DDC5013" w14:textId="71CE81E5" w:rsidR="00854F0C" w:rsidRPr="00EB03CC" w:rsidRDefault="00854F0C" w:rsidP="00854F0C">
      <w:pPr>
        <w:numPr>
          <w:ilvl w:val="0"/>
          <w:numId w:val="2"/>
        </w:num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Approval records or access request tickets</w:t>
      </w:r>
      <w:r w:rsidRPr="00EB03CC">
        <w:rPr>
          <w:rFonts w:ascii="Calibri" w:eastAsia="Times New Roman" w:hAnsi="Calibri" w:cs="Calibri"/>
          <w:kern w:val="0"/>
          <w:sz w:val="21"/>
          <w:szCs w:val="21"/>
          <w14:ligatures w14:val="none"/>
        </w:rPr>
        <w:t xml:space="preserve"> showing that privileged access is </w:t>
      </w:r>
      <w:r w:rsidR="00EB03CC" w:rsidRPr="00EB03CC">
        <w:rPr>
          <w:rFonts w:ascii="Calibri" w:eastAsia="Times New Roman" w:hAnsi="Calibri" w:cs="Calibri"/>
          <w:kern w:val="0"/>
          <w:sz w:val="21"/>
          <w:szCs w:val="21"/>
          <w14:ligatures w14:val="none"/>
        </w:rPr>
        <w:t>authorized</w:t>
      </w:r>
      <w:r w:rsidRPr="00EB03CC">
        <w:rPr>
          <w:rFonts w:ascii="Calibri" w:eastAsia="Times New Roman" w:hAnsi="Calibri" w:cs="Calibri"/>
          <w:kern w:val="0"/>
          <w:sz w:val="21"/>
          <w:szCs w:val="21"/>
          <w14:ligatures w14:val="none"/>
        </w:rPr>
        <w:t xml:space="preserve"> before being granted. </w:t>
      </w:r>
    </w:p>
    <w:p w14:paraId="67F8CD7E" w14:textId="77777777" w:rsidR="00854F0C" w:rsidRPr="00EB03CC" w:rsidRDefault="00854F0C" w:rsidP="00854F0C">
      <w:pPr>
        <w:numPr>
          <w:ilvl w:val="0"/>
          <w:numId w:val="2"/>
        </w:num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System audit logs</w:t>
      </w:r>
      <w:r w:rsidRPr="00EB03CC">
        <w:rPr>
          <w:rFonts w:ascii="Calibri" w:eastAsia="Times New Roman" w:hAnsi="Calibri" w:cs="Calibri"/>
          <w:kern w:val="0"/>
          <w:sz w:val="21"/>
          <w:szCs w:val="21"/>
          <w14:ligatures w14:val="none"/>
        </w:rPr>
        <w:t xml:space="preserve"> showing privileged account activity and monitoring of administrator actions. </w:t>
      </w:r>
    </w:p>
    <w:p w14:paraId="4EF0422D" w14:textId="08D7BE52" w:rsidR="00854F0C" w:rsidRPr="00EB03CC" w:rsidRDefault="00854F0C" w:rsidP="00854F0C">
      <w:pPr>
        <w:spacing w:after="0" w:line="240" w:lineRule="auto"/>
        <w:rPr>
          <w:rFonts w:ascii="Calibri" w:eastAsia="Times New Roman" w:hAnsi="Calibri" w:cs="Calibri"/>
          <w:kern w:val="0"/>
          <w:sz w:val="21"/>
          <w:szCs w:val="21"/>
          <w14:ligatures w14:val="none"/>
        </w:rPr>
      </w:pPr>
    </w:p>
    <w:p w14:paraId="7227854C" w14:textId="77777777" w:rsidR="00854F0C" w:rsidRPr="00EB03CC" w:rsidRDefault="00854F0C" w:rsidP="00854F0C">
      <w:pPr>
        <w:spacing w:before="100" w:beforeAutospacing="1" w:after="100" w:afterAutospacing="1" w:line="240" w:lineRule="auto"/>
        <w:outlineLvl w:val="0"/>
        <w:rPr>
          <w:rFonts w:ascii="Calibri" w:eastAsia="Times New Roman" w:hAnsi="Calibri" w:cs="Calibri"/>
          <w:b/>
          <w:bCs/>
          <w:kern w:val="36"/>
          <w:sz w:val="21"/>
          <w:szCs w:val="21"/>
          <w14:ligatures w14:val="none"/>
        </w:rPr>
      </w:pPr>
      <w:r w:rsidRPr="00EB03CC">
        <w:rPr>
          <w:rFonts w:ascii="Calibri" w:eastAsia="Times New Roman" w:hAnsi="Calibri" w:cs="Calibri"/>
          <w:b/>
          <w:bCs/>
          <w:kern w:val="36"/>
          <w:sz w:val="21"/>
          <w:szCs w:val="21"/>
          <w14:ligatures w14:val="none"/>
        </w:rPr>
        <w:t>Control Testing Procedures</w:t>
      </w:r>
    </w:p>
    <w:p w14:paraId="7131A35A" w14:textId="0D31D2CB" w:rsidR="00854F0C" w:rsidRPr="00EB03CC" w:rsidRDefault="00854F0C" w:rsidP="00854F0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To verify that the control is effective, the </w:t>
      </w:r>
      <w:r w:rsidR="00EB03CC" w:rsidRPr="00EB03CC">
        <w:rPr>
          <w:rFonts w:ascii="Calibri" w:eastAsia="Times New Roman" w:hAnsi="Calibri" w:cs="Calibri"/>
          <w:kern w:val="0"/>
          <w:sz w:val="21"/>
          <w:szCs w:val="21"/>
          <w14:ligatures w14:val="none"/>
        </w:rPr>
        <w:t>organization</w:t>
      </w:r>
      <w:r w:rsidRPr="00EB03CC">
        <w:rPr>
          <w:rFonts w:ascii="Calibri" w:eastAsia="Times New Roman" w:hAnsi="Calibri" w:cs="Calibri"/>
          <w:kern w:val="0"/>
          <w:sz w:val="21"/>
          <w:szCs w:val="21"/>
          <w14:ligatures w14:val="none"/>
        </w:rPr>
        <w:t xml:space="preserve"> could perform the following tests:</w:t>
      </w:r>
    </w:p>
    <w:p w14:paraId="18549F5F" w14:textId="77777777" w:rsidR="00854F0C" w:rsidRPr="00EB03CC" w:rsidRDefault="00854F0C" w:rsidP="00854F0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Test 1: Access Review Testing</w:t>
      </w:r>
    </w:p>
    <w:p w14:paraId="0172B3BE" w14:textId="77777777" w:rsidR="00854F0C" w:rsidRPr="00EB03CC" w:rsidRDefault="00854F0C" w:rsidP="00854F0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Select a sample of privileged accounts and verify that:</w:t>
      </w:r>
    </w:p>
    <w:p w14:paraId="2866244A" w14:textId="77777777" w:rsidR="00854F0C" w:rsidRPr="00EB03CC" w:rsidRDefault="00854F0C" w:rsidP="00854F0C">
      <w:pPr>
        <w:numPr>
          <w:ilvl w:val="0"/>
          <w:numId w:val="3"/>
        </w:num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Each account has an approved business owner. </w:t>
      </w:r>
    </w:p>
    <w:p w14:paraId="718B016C" w14:textId="77777777" w:rsidR="00854F0C" w:rsidRPr="00EB03CC" w:rsidRDefault="00854F0C" w:rsidP="00854F0C">
      <w:pPr>
        <w:numPr>
          <w:ilvl w:val="0"/>
          <w:numId w:val="3"/>
        </w:num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Access is still required. </w:t>
      </w:r>
    </w:p>
    <w:p w14:paraId="7CC29011" w14:textId="30B2B634" w:rsidR="00854F0C" w:rsidRPr="00EB03CC" w:rsidRDefault="00854F0C" w:rsidP="00854F0C">
      <w:pPr>
        <w:numPr>
          <w:ilvl w:val="0"/>
          <w:numId w:val="3"/>
        </w:num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Reviews are completed according to the </w:t>
      </w:r>
      <w:r w:rsidR="00EB03CC" w:rsidRPr="00EB03CC">
        <w:rPr>
          <w:rFonts w:ascii="Calibri" w:eastAsia="Times New Roman" w:hAnsi="Calibri" w:cs="Calibri"/>
          <w:kern w:val="0"/>
          <w:sz w:val="21"/>
          <w:szCs w:val="21"/>
          <w14:ligatures w14:val="none"/>
        </w:rPr>
        <w:t>organization’s</w:t>
      </w:r>
      <w:r w:rsidRPr="00EB03CC">
        <w:rPr>
          <w:rFonts w:ascii="Calibri" w:eastAsia="Times New Roman" w:hAnsi="Calibri" w:cs="Calibri"/>
          <w:kern w:val="0"/>
          <w:sz w:val="21"/>
          <w:szCs w:val="21"/>
          <w14:ligatures w14:val="none"/>
        </w:rPr>
        <w:t xml:space="preserve"> defined frequency. </w:t>
      </w:r>
    </w:p>
    <w:p w14:paraId="4F1DE020" w14:textId="77777777" w:rsidR="00854F0C" w:rsidRPr="00EB03CC" w:rsidRDefault="00854F0C" w:rsidP="00854F0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Test 2: Privileged Activity Monitoring Testing</w:t>
      </w:r>
    </w:p>
    <w:p w14:paraId="482C0085" w14:textId="77777777" w:rsidR="00854F0C" w:rsidRPr="00EB03CC" w:rsidRDefault="00854F0C" w:rsidP="00854F0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Review administrator activity logs to confirm that:</w:t>
      </w:r>
    </w:p>
    <w:p w14:paraId="5B1CC070" w14:textId="77777777" w:rsidR="00854F0C" w:rsidRPr="00EB03CC" w:rsidRDefault="00854F0C" w:rsidP="00854F0C">
      <w:pPr>
        <w:numPr>
          <w:ilvl w:val="0"/>
          <w:numId w:val="4"/>
        </w:num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Privileged actions are recorded. </w:t>
      </w:r>
    </w:p>
    <w:p w14:paraId="790F6585" w14:textId="74906111" w:rsidR="00854F0C" w:rsidRPr="00EB03CC" w:rsidRDefault="00854F0C" w:rsidP="00854F0C">
      <w:pPr>
        <w:numPr>
          <w:ilvl w:val="0"/>
          <w:numId w:val="4"/>
        </w:num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Suspicious or </w:t>
      </w:r>
      <w:r w:rsidR="00EB03CC" w:rsidRPr="00EB03CC">
        <w:rPr>
          <w:rFonts w:ascii="Calibri" w:eastAsia="Times New Roman" w:hAnsi="Calibri" w:cs="Calibri"/>
          <w:kern w:val="0"/>
          <w:sz w:val="21"/>
          <w:szCs w:val="21"/>
          <w14:ligatures w14:val="none"/>
        </w:rPr>
        <w:t>unauthorized</w:t>
      </w:r>
      <w:r w:rsidRPr="00EB03CC">
        <w:rPr>
          <w:rFonts w:ascii="Calibri" w:eastAsia="Times New Roman" w:hAnsi="Calibri" w:cs="Calibri"/>
          <w:kern w:val="0"/>
          <w:sz w:val="21"/>
          <w:szCs w:val="21"/>
          <w14:ligatures w14:val="none"/>
        </w:rPr>
        <w:t xml:space="preserve"> activities are investigated. </w:t>
      </w:r>
    </w:p>
    <w:p w14:paraId="5EB6A18A" w14:textId="77777777" w:rsidR="00854F0C" w:rsidRPr="00EB03CC" w:rsidRDefault="00854F0C" w:rsidP="00854F0C">
      <w:pPr>
        <w:numPr>
          <w:ilvl w:val="0"/>
          <w:numId w:val="4"/>
        </w:num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Monitoring controls are functioning as expected. </w:t>
      </w:r>
    </w:p>
    <w:p w14:paraId="1F601F80" w14:textId="79E60842" w:rsidR="00854F0C" w:rsidRPr="00EB03CC" w:rsidRDefault="00854F0C" w:rsidP="00854F0C">
      <w:pPr>
        <w:spacing w:after="0" w:line="240" w:lineRule="auto"/>
        <w:rPr>
          <w:rFonts w:ascii="Calibri" w:eastAsia="Times New Roman" w:hAnsi="Calibri" w:cs="Calibri"/>
          <w:kern w:val="0"/>
          <w:sz w:val="21"/>
          <w:szCs w:val="21"/>
          <w14:ligatures w14:val="none"/>
        </w:rPr>
      </w:pPr>
    </w:p>
    <w:p w14:paraId="45A52859" w14:textId="77777777" w:rsidR="00854F0C" w:rsidRPr="00EB03CC" w:rsidRDefault="00854F0C" w:rsidP="00854F0C">
      <w:pPr>
        <w:spacing w:before="100" w:beforeAutospacing="1" w:after="100" w:afterAutospacing="1" w:line="240" w:lineRule="auto"/>
        <w:outlineLvl w:val="0"/>
        <w:rPr>
          <w:rFonts w:ascii="Calibri" w:eastAsia="Times New Roman" w:hAnsi="Calibri" w:cs="Calibri"/>
          <w:b/>
          <w:bCs/>
          <w:kern w:val="36"/>
          <w:sz w:val="21"/>
          <w:szCs w:val="21"/>
          <w14:ligatures w14:val="none"/>
        </w:rPr>
      </w:pPr>
      <w:r w:rsidRPr="00EB03CC">
        <w:rPr>
          <w:rFonts w:ascii="Calibri" w:eastAsia="Times New Roman" w:hAnsi="Calibri" w:cs="Calibri"/>
          <w:b/>
          <w:bCs/>
          <w:kern w:val="36"/>
          <w:sz w:val="21"/>
          <w:szCs w:val="21"/>
          <w14:ligatures w14:val="none"/>
        </w:rPr>
        <w:t>Why One Control Can Support Multiple Frameworks</w:t>
      </w:r>
    </w:p>
    <w:p w14:paraId="6C09B6AC" w14:textId="22E1ECD5" w:rsidR="00854F0C" w:rsidRPr="00EB03CC" w:rsidRDefault="00854F0C" w:rsidP="00854F0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lastRenderedPageBreak/>
        <w:t xml:space="preserve">A well-designed PAM control can satisfy requirements across several frameworks because many security and compliance standards are concerned with the same underlying risk: preventing </w:t>
      </w:r>
      <w:r w:rsidR="00EB03CC" w:rsidRPr="00EB03CC">
        <w:rPr>
          <w:rFonts w:ascii="Calibri" w:eastAsia="Times New Roman" w:hAnsi="Calibri" w:cs="Calibri"/>
          <w:kern w:val="0"/>
          <w:sz w:val="21"/>
          <w:szCs w:val="21"/>
          <w14:ligatures w14:val="none"/>
        </w:rPr>
        <w:t>unauthorized</w:t>
      </w:r>
      <w:r w:rsidRPr="00EB03CC">
        <w:rPr>
          <w:rFonts w:ascii="Calibri" w:eastAsia="Times New Roman" w:hAnsi="Calibri" w:cs="Calibri"/>
          <w:kern w:val="0"/>
          <w:sz w:val="21"/>
          <w:szCs w:val="21"/>
          <w14:ligatures w14:val="none"/>
        </w:rPr>
        <w:t xml:space="preserve"> access to important systems and information.</w:t>
      </w:r>
    </w:p>
    <w:p w14:paraId="4BB1C43E" w14:textId="372126D7" w:rsidR="00854F0C" w:rsidRPr="00EB03CC" w:rsidRDefault="00854F0C" w:rsidP="00854F0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For example, controlling administrator privileges supports ISO/IEC 27001 information security requirements, NIST cybersecurity practices and COBIT governance objectives at the same time. Instead of creating separate access controls for each framework, an </w:t>
      </w:r>
      <w:r w:rsidR="00EB03CC" w:rsidRPr="00EB03CC">
        <w:rPr>
          <w:rFonts w:ascii="Calibri" w:eastAsia="Times New Roman" w:hAnsi="Calibri" w:cs="Calibri"/>
          <w:kern w:val="0"/>
          <w:sz w:val="21"/>
          <w:szCs w:val="21"/>
          <w14:ligatures w14:val="none"/>
        </w:rPr>
        <w:t>organization</w:t>
      </w:r>
      <w:r w:rsidRPr="00EB03CC">
        <w:rPr>
          <w:rFonts w:ascii="Calibri" w:eastAsia="Times New Roman" w:hAnsi="Calibri" w:cs="Calibri"/>
          <w:kern w:val="0"/>
          <w:sz w:val="21"/>
          <w:szCs w:val="21"/>
          <w14:ligatures w14:val="none"/>
        </w:rPr>
        <w:t xml:space="preserve"> can implement one strong PAM control and map it against multiple requirements.</w:t>
      </w:r>
    </w:p>
    <w:p w14:paraId="7DC25D9B" w14:textId="4345A576" w:rsidR="00854F0C" w:rsidRPr="00EB03CC" w:rsidRDefault="00854F0C" w:rsidP="00854F0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However, the </w:t>
      </w:r>
      <w:r w:rsidR="00EB03CC" w:rsidRPr="00EB03CC">
        <w:rPr>
          <w:rFonts w:ascii="Calibri" w:eastAsia="Times New Roman" w:hAnsi="Calibri" w:cs="Calibri"/>
          <w:kern w:val="0"/>
          <w:sz w:val="21"/>
          <w:szCs w:val="21"/>
          <w14:ligatures w14:val="none"/>
        </w:rPr>
        <w:t>organization</w:t>
      </w:r>
      <w:r w:rsidRPr="00EB03CC">
        <w:rPr>
          <w:rFonts w:ascii="Calibri" w:eastAsia="Times New Roman" w:hAnsi="Calibri" w:cs="Calibri"/>
          <w:kern w:val="0"/>
          <w:sz w:val="21"/>
          <w:szCs w:val="21"/>
          <w14:ligatures w14:val="none"/>
        </w:rPr>
        <w:t xml:space="preserve"> must still consider the specific expectations of each framework. ISO/IEC 27001 may focus on whether information security controls are implemented within an effective management system, while NIST may focus more on cybersecurity capabilities and COBIT may </w:t>
      </w:r>
      <w:r w:rsidR="00902325" w:rsidRPr="00EB03CC">
        <w:rPr>
          <w:rFonts w:ascii="Calibri" w:eastAsia="Times New Roman" w:hAnsi="Calibri" w:cs="Calibri"/>
          <w:kern w:val="0"/>
          <w:sz w:val="21"/>
          <w:szCs w:val="21"/>
          <w14:ligatures w14:val="none"/>
        </w:rPr>
        <w:t>emphasize</w:t>
      </w:r>
      <w:r w:rsidRPr="00EB03CC">
        <w:rPr>
          <w:rFonts w:ascii="Calibri" w:eastAsia="Times New Roman" w:hAnsi="Calibri" w:cs="Calibri"/>
          <w:kern w:val="0"/>
          <w:sz w:val="21"/>
          <w:szCs w:val="21"/>
          <w14:ligatures w14:val="none"/>
        </w:rPr>
        <w:t xml:space="preserve"> governance responsibilities. Therefore, the same control can provide multiple compliance benefits, but the evidence, ownership and testing approach may need to be adjusted depending on the requirement being assessed.</w:t>
      </w:r>
    </w:p>
    <w:p w14:paraId="248DF068" w14:textId="77777777" w:rsidR="00854F0C" w:rsidRPr="00EB03CC" w:rsidRDefault="00854F0C" w:rsidP="00854F0C">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A CCF therefore improves efficiency by reducing duplicated controls while maintaining visibility of how each framework requirement is being addressed.</w:t>
      </w:r>
    </w:p>
    <w:p w14:paraId="49191E45" w14:textId="77777777" w:rsidR="00854F0C" w:rsidRPr="00EB03CC" w:rsidRDefault="00854F0C" w:rsidP="004D5119">
      <w:pPr>
        <w:spacing w:before="100" w:beforeAutospacing="1" w:after="100" w:afterAutospacing="1" w:line="240" w:lineRule="auto"/>
        <w:rPr>
          <w:rFonts w:ascii="Calibri" w:eastAsia="Times New Roman" w:hAnsi="Calibri" w:cs="Calibri"/>
          <w:kern w:val="0"/>
          <w:sz w:val="21"/>
          <w:szCs w:val="21"/>
          <w14:ligatures w14:val="none"/>
        </w:rPr>
      </w:pPr>
    </w:p>
    <w:p w14:paraId="5F78CDDD" w14:textId="77777777" w:rsidR="00C91B8F" w:rsidRPr="00EB03CC" w:rsidRDefault="00854F0C" w:rsidP="00C91B8F">
      <w:pPr>
        <w:rPr>
          <w:rStyle w:val="normaltextrun"/>
          <w:rFonts w:ascii="Calibri" w:hAnsi="Calibri" w:cs="Calibri"/>
          <w:b/>
          <w:bCs/>
          <w:sz w:val="21"/>
          <w:szCs w:val="21"/>
          <w:shd w:val="clear" w:color="auto" w:fill="FFFFFF"/>
        </w:rPr>
      </w:pPr>
      <w:r w:rsidRPr="00EB03CC">
        <w:rPr>
          <w:rStyle w:val="normaltextrun"/>
          <w:rFonts w:ascii="Calibri" w:hAnsi="Calibri" w:cs="Calibri"/>
          <w:b/>
          <w:bCs/>
          <w:sz w:val="21"/>
          <w:szCs w:val="21"/>
          <w:shd w:val="clear" w:color="auto" w:fill="FFFFFF"/>
        </w:rPr>
        <w:t xml:space="preserve">PART C - APPLIED ESSAY </w:t>
      </w:r>
    </w:p>
    <w:p w14:paraId="6024C99D" w14:textId="1514F146" w:rsidR="00C91B8F" w:rsidRPr="00EB03CC" w:rsidRDefault="00C91B8F" w:rsidP="00C91B8F">
      <w:pPr>
        <w:rPr>
          <w:rFonts w:ascii="Calibri" w:hAnsi="Calibri" w:cs="Calibri"/>
          <w:b/>
          <w:bCs/>
          <w:sz w:val="21"/>
          <w:szCs w:val="21"/>
          <w:shd w:val="clear" w:color="auto" w:fill="FFFFFF"/>
        </w:rPr>
      </w:pPr>
      <w:r w:rsidRPr="00EB03CC">
        <w:rPr>
          <w:rFonts w:ascii="Calibri" w:eastAsia="Times New Roman" w:hAnsi="Calibri" w:cs="Calibri"/>
          <w:b/>
          <w:bCs/>
          <w:kern w:val="36"/>
          <w:sz w:val="21"/>
          <w:szCs w:val="21"/>
          <w14:ligatures w14:val="none"/>
        </w:rPr>
        <w:t xml:space="preserve"> “GRC Succeeds or Fails in the Business Unit” </w:t>
      </w:r>
    </w:p>
    <w:p w14:paraId="7E578232" w14:textId="5672F4F7" w:rsidR="00C91B8F" w:rsidRPr="00EB03CC" w:rsidRDefault="00C91B8F" w:rsidP="00C91B8F">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The statement, </w:t>
      </w:r>
      <w:r w:rsidRPr="00EB03CC">
        <w:rPr>
          <w:rFonts w:ascii="Calibri" w:eastAsia="Times New Roman" w:hAnsi="Calibri" w:cs="Calibri"/>
          <w:i/>
          <w:iCs/>
          <w:kern w:val="0"/>
          <w:sz w:val="21"/>
          <w:szCs w:val="21"/>
          <w14:ligatures w14:val="none"/>
        </w:rPr>
        <w:t>“Policy is written at the centre, but risk is taken and controls are performed at the edge,”</w:t>
      </w:r>
      <w:r w:rsidRPr="00EB03CC">
        <w:rPr>
          <w:rFonts w:ascii="Calibri" w:eastAsia="Times New Roman" w:hAnsi="Calibri" w:cs="Calibri"/>
          <w:kern w:val="0"/>
          <w:sz w:val="21"/>
          <w:szCs w:val="21"/>
          <w14:ligatures w14:val="none"/>
        </w:rPr>
        <w:t xml:space="preserve"> reflects how </w:t>
      </w:r>
      <w:r w:rsidR="00EB03CC" w:rsidRPr="00EB03CC">
        <w:rPr>
          <w:rFonts w:ascii="Calibri" w:eastAsia="Times New Roman" w:hAnsi="Calibri" w:cs="Calibri"/>
          <w:kern w:val="0"/>
          <w:sz w:val="21"/>
          <w:szCs w:val="21"/>
          <w14:ligatures w14:val="none"/>
        </w:rPr>
        <w:t>organizations</w:t>
      </w:r>
      <w:r w:rsidRPr="00EB03CC">
        <w:rPr>
          <w:rFonts w:ascii="Calibri" w:eastAsia="Times New Roman" w:hAnsi="Calibri" w:cs="Calibri"/>
          <w:kern w:val="0"/>
          <w:sz w:val="21"/>
          <w:szCs w:val="21"/>
          <w14:ligatures w14:val="none"/>
        </w:rPr>
        <w:t xml:space="preserve"> operate in practice. Policies, standards and governance frameworks are usually developed by central teams such as Governance, Risk, Compliance or Information Security. However, they only become meaningful when they are put into practice by the people running the day-to-day operations. Business units make decisions every day that can either reduce risk or create new vulnerabilities. For this reason, the success of GRC depends just as much on operational teams as it does on the departments responsible for writing policies.</w:t>
      </w:r>
    </w:p>
    <w:p w14:paraId="7E2AA328" w14:textId="459C82F9" w:rsidR="00C91B8F" w:rsidRPr="00EB03CC" w:rsidRDefault="00C91B8F" w:rsidP="00C91B8F">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Business-unit managers are at the centre of this process because they understand how their teams work and where operational risks are most likely to occur. Their responsibility is not to eliminate every possible risk but to ensure that risks are understood, appropriate controls are in </w:t>
      </w:r>
      <w:r w:rsidR="00EB03CC" w:rsidRPr="00EB03CC">
        <w:rPr>
          <w:rFonts w:ascii="Calibri" w:eastAsia="Times New Roman" w:hAnsi="Calibri" w:cs="Calibri"/>
          <w:kern w:val="0"/>
          <w:sz w:val="21"/>
          <w:szCs w:val="21"/>
          <w14:ligatures w14:val="none"/>
        </w:rPr>
        <w:t>place,</w:t>
      </w:r>
      <w:r w:rsidRPr="00EB03CC">
        <w:rPr>
          <w:rFonts w:ascii="Calibri" w:eastAsia="Times New Roman" w:hAnsi="Calibri" w:cs="Calibri"/>
          <w:kern w:val="0"/>
          <w:sz w:val="21"/>
          <w:szCs w:val="21"/>
          <w14:ligatures w14:val="none"/>
        </w:rPr>
        <w:t xml:space="preserve"> and business decisions remain within the </w:t>
      </w:r>
      <w:r w:rsidR="00EB03CC" w:rsidRPr="00EB03CC">
        <w:rPr>
          <w:rFonts w:ascii="Calibri" w:eastAsia="Times New Roman" w:hAnsi="Calibri" w:cs="Calibri"/>
          <w:kern w:val="0"/>
          <w:sz w:val="21"/>
          <w:szCs w:val="21"/>
          <w14:ligatures w14:val="none"/>
        </w:rPr>
        <w:t>organization’s</w:t>
      </w:r>
      <w:r w:rsidRPr="00EB03CC">
        <w:rPr>
          <w:rFonts w:ascii="Calibri" w:eastAsia="Times New Roman" w:hAnsi="Calibri" w:cs="Calibri"/>
          <w:kern w:val="0"/>
          <w:sz w:val="21"/>
          <w:szCs w:val="21"/>
          <w14:ligatures w14:val="none"/>
        </w:rPr>
        <w:t xml:space="preserve"> acceptable level of risk. Good governance provides direction, but it is business-unit managers who make sure that direction is reflected in everyday activities.</w:t>
      </w:r>
    </w:p>
    <w:p w14:paraId="44C2446B" w14:textId="53D5D5F1" w:rsidR="00C91B8F" w:rsidRPr="00EB03CC" w:rsidRDefault="00C91B8F" w:rsidP="00C91B8F">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A good example is user access management. An </w:t>
      </w:r>
      <w:r w:rsidR="00EB03CC" w:rsidRPr="00EB03CC">
        <w:rPr>
          <w:rFonts w:ascii="Calibri" w:eastAsia="Times New Roman" w:hAnsi="Calibri" w:cs="Calibri"/>
          <w:kern w:val="0"/>
          <w:sz w:val="21"/>
          <w:szCs w:val="21"/>
          <w14:ligatures w14:val="none"/>
        </w:rPr>
        <w:t>organization</w:t>
      </w:r>
      <w:r w:rsidRPr="00EB03CC">
        <w:rPr>
          <w:rFonts w:ascii="Calibri" w:eastAsia="Times New Roman" w:hAnsi="Calibri" w:cs="Calibri"/>
          <w:kern w:val="0"/>
          <w:sz w:val="21"/>
          <w:szCs w:val="21"/>
          <w14:ligatures w14:val="none"/>
        </w:rPr>
        <w:t xml:space="preserve"> may have a well-written policy stating that employees should only have access to the systems they need to perform their jobs. If managers fail to approve access correctly or neglect to remove accounts when employees leave, the policy has little practical value. Controls only reduce risk when they are performed consistently and monitored over time.</w:t>
      </w:r>
    </w:p>
    <w:p w14:paraId="6BC7A5B2" w14:textId="55D20E3C" w:rsidR="00C91B8F" w:rsidRPr="00EB03CC" w:rsidRDefault="00C91B8F" w:rsidP="00C91B8F">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Culture also has a significant influence on whether GRC succeeds. In </w:t>
      </w:r>
      <w:r w:rsidR="00EB03CC" w:rsidRPr="00EB03CC">
        <w:rPr>
          <w:rFonts w:ascii="Calibri" w:eastAsia="Times New Roman" w:hAnsi="Calibri" w:cs="Calibri"/>
          <w:kern w:val="0"/>
          <w:sz w:val="21"/>
          <w:szCs w:val="21"/>
          <w14:ligatures w14:val="none"/>
        </w:rPr>
        <w:t>organizations</w:t>
      </w:r>
      <w:r w:rsidRPr="00EB03CC">
        <w:rPr>
          <w:rFonts w:ascii="Calibri" w:eastAsia="Times New Roman" w:hAnsi="Calibri" w:cs="Calibri"/>
          <w:kern w:val="0"/>
          <w:sz w:val="21"/>
          <w:szCs w:val="21"/>
          <w14:ligatures w14:val="none"/>
        </w:rPr>
        <w:t xml:space="preserve"> where employees understand why controls </w:t>
      </w:r>
      <w:r w:rsidR="00EB03CC" w:rsidRPr="00EB03CC">
        <w:rPr>
          <w:rFonts w:ascii="Calibri" w:eastAsia="Times New Roman" w:hAnsi="Calibri" w:cs="Calibri"/>
          <w:kern w:val="0"/>
          <w:sz w:val="21"/>
          <w:szCs w:val="21"/>
          <w14:ligatures w14:val="none"/>
        </w:rPr>
        <w:t>exist;</w:t>
      </w:r>
      <w:r w:rsidRPr="00EB03CC">
        <w:rPr>
          <w:rFonts w:ascii="Calibri" w:eastAsia="Times New Roman" w:hAnsi="Calibri" w:cs="Calibri"/>
          <w:kern w:val="0"/>
          <w:sz w:val="21"/>
          <w:szCs w:val="21"/>
          <w14:ligatures w14:val="none"/>
        </w:rPr>
        <w:t xml:space="preserve"> compliance becomes part of normal business operations rather than an administrative exercise. On the other hand, if staff believe that delivering work quickly is more important than following established processes, important controls are often ignored. Over time, these shortcuts can lead to security incidents, compliance breaches or operational failures.</w:t>
      </w:r>
    </w:p>
    <w:p w14:paraId="652C7BEC" w14:textId="19582B58" w:rsidR="00C91B8F" w:rsidRPr="00EB03CC" w:rsidRDefault="00C91B8F" w:rsidP="00C91B8F">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lastRenderedPageBreak/>
        <w:t xml:space="preserve">Business units also need practical tools to manage risk effectively. One of the most useful is the risk register. Rather than simply recording risks for reporting purposes, a risk register helps managers identify threats, assess their potential impact, assign ownership and monitor treatment actions. As business activities change, the register should also be updated so that management decisions continue to reflect the </w:t>
      </w:r>
      <w:r w:rsidR="00EB03CC" w:rsidRPr="00EB03CC">
        <w:rPr>
          <w:rFonts w:ascii="Calibri" w:eastAsia="Times New Roman" w:hAnsi="Calibri" w:cs="Calibri"/>
          <w:kern w:val="0"/>
          <w:sz w:val="21"/>
          <w:szCs w:val="21"/>
          <w14:ligatures w14:val="none"/>
        </w:rPr>
        <w:t>organization’s</w:t>
      </w:r>
      <w:r w:rsidRPr="00EB03CC">
        <w:rPr>
          <w:rFonts w:ascii="Calibri" w:eastAsia="Times New Roman" w:hAnsi="Calibri" w:cs="Calibri"/>
          <w:kern w:val="0"/>
          <w:sz w:val="21"/>
          <w:szCs w:val="21"/>
          <w14:ligatures w14:val="none"/>
        </w:rPr>
        <w:t xml:space="preserve"> current risk environment.</w:t>
      </w:r>
    </w:p>
    <w:p w14:paraId="769AF9E7" w14:textId="61777B52" w:rsidR="00C91B8F" w:rsidRPr="00EB03CC" w:rsidRDefault="00C91B8F" w:rsidP="00C91B8F">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Control ownership is another area that is often underestimated. Every important control should have someone who is clearly responsible for ensuring that it operates as intended. Compliance teams can provide guidance and oversight, but they cannot perform operational controls on behalf of business units. For example, managers approve access requests, IT administrators implement those requests and Information Security teams monitor compliance with </w:t>
      </w:r>
      <w:r w:rsidR="00EB03CC" w:rsidRPr="00EB03CC">
        <w:rPr>
          <w:rFonts w:ascii="Calibri" w:eastAsia="Times New Roman" w:hAnsi="Calibri" w:cs="Calibri"/>
          <w:kern w:val="0"/>
          <w:sz w:val="21"/>
          <w:szCs w:val="21"/>
          <w14:ligatures w14:val="none"/>
        </w:rPr>
        <w:t>organizational</w:t>
      </w:r>
      <w:r w:rsidRPr="00EB03CC">
        <w:rPr>
          <w:rFonts w:ascii="Calibri" w:eastAsia="Times New Roman" w:hAnsi="Calibri" w:cs="Calibri"/>
          <w:kern w:val="0"/>
          <w:sz w:val="21"/>
          <w:szCs w:val="21"/>
          <w14:ligatures w14:val="none"/>
        </w:rPr>
        <w:t xml:space="preserve"> policies. Clearly defining these responsibilities strengthens accountability and reduces confusion.</w:t>
      </w:r>
    </w:p>
    <w:p w14:paraId="327205B6" w14:textId="33A95309" w:rsidR="00C91B8F" w:rsidRPr="00EB03CC" w:rsidRDefault="00C91B8F" w:rsidP="00C91B8F">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Another important aspect of effective GRC is timely escalation. Not every issue requires executive involvement, but staff should know when a risk has become significant enough to be reported. Delays in escalating problems often allow relatively small issues to develop into larger incidents. Frameworks such as ISO 31000 encourage </w:t>
      </w:r>
      <w:r w:rsidR="00EB03CC" w:rsidRPr="00EB03CC">
        <w:rPr>
          <w:rFonts w:ascii="Calibri" w:eastAsia="Times New Roman" w:hAnsi="Calibri" w:cs="Calibri"/>
          <w:kern w:val="0"/>
          <w:sz w:val="21"/>
          <w:szCs w:val="21"/>
          <w14:ligatures w14:val="none"/>
        </w:rPr>
        <w:t>organizations</w:t>
      </w:r>
      <w:r w:rsidRPr="00EB03CC">
        <w:rPr>
          <w:rFonts w:ascii="Calibri" w:eastAsia="Times New Roman" w:hAnsi="Calibri" w:cs="Calibri"/>
          <w:kern w:val="0"/>
          <w:sz w:val="21"/>
          <w:szCs w:val="21"/>
          <w14:ligatures w14:val="none"/>
        </w:rPr>
        <w:t xml:space="preserve"> to identify, communicate and review risks continuously so that management can make informed decisions before problems become business disruptions.</w:t>
      </w:r>
    </w:p>
    <w:p w14:paraId="5B51D515" w14:textId="0907C13A" w:rsidR="00C91B8F" w:rsidRPr="00EB03CC" w:rsidRDefault="00C91B8F" w:rsidP="00C91B8F">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Evidence is equally important because </w:t>
      </w:r>
      <w:r w:rsidR="00EB03CC" w:rsidRPr="00EB03CC">
        <w:rPr>
          <w:rFonts w:ascii="Calibri" w:eastAsia="Times New Roman" w:hAnsi="Calibri" w:cs="Calibri"/>
          <w:kern w:val="0"/>
          <w:sz w:val="21"/>
          <w:szCs w:val="21"/>
          <w14:ligatures w14:val="none"/>
        </w:rPr>
        <w:t>organizations</w:t>
      </w:r>
      <w:r w:rsidRPr="00EB03CC">
        <w:rPr>
          <w:rFonts w:ascii="Calibri" w:eastAsia="Times New Roman" w:hAnsi="Calibri" w:cs="Calibri"/>
          <w:kern w:val="0"/>
          <w:sz w:val="21"/>
          <w:szCs w:val="21"/>
          <w14:ligatures w14:val="none"/>
        </w:rPr>
        <w:t xml:space="preserve"> need to demonstrate that controls are operating effectively, not simply assume they are. Audit logs, access review reports, vulnerability assessments and management approvals all provide objective evidence that controls have been performed. During my work in software quality engineering, I have seen how security testing and evidence collection are just as important as implementing the controls themselves. For example, validating certificate renewal logs, deployment records and test results provides assurance that security controls are operating as expected and that compliance requirements can be demonstrated during an audit.</w:t>
      </w:r>
    </w:p>
    <w:p w14:paraId="6D6868C8" w14:textId="70DC634B" w:rsidR="00C91B8F" w:rsidRPr="00EB03CC" w:rsidRDefault="00C91B8F" w:rsidP="00C91B8F">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Management review completes the GRC process. Senior management should regularly review incidents, audit findings, key risk indicators and compliance reports to determine whether existing controls remain effective or whether improvements are needed. This approach reflects the continual improvement principles found in ISO/IEC 27001 and the NIST Cybersecurity Framework 2.0, where </w:t>
      </w:r>
      <w:r w:rsidR="00EB03CC" w:rsidRPr="00EB03CC">
        <w:rPr>
          <w:rFonts w:ascii="Calibri" w:eastAsia="Times New Roman" w:hAnsi="Calibri" w:cs="Calibri"/>
          <w:kern w:val="0"/>
          <w:sz w:val="21"/>
          <w:szCs w:val="21"/>
          <w14:ligatures w14:val="none"/>
        </w:rPr>
        <w:t>organizations</w:t>
      </w:r>
      <w:r w:rsidRPr="00EB03CC">
        <w:rPr>
          <w:rFonts w:ascii="Calibri" w:eastAsia="Times New Roman" w:hAnsi="Calibri" w:cs="Calibri"/>
          <w:kern w:val="0"/>
          <w:sz w:val="21"/>
          <w:szCs w:val="21"/>
          <w14:ligatures w14:val="none"/>
        </w:rPr>
        <w:t xml:space="preserve"> are expected to learn from operational experience and strengthen their controls over time.</w:t>
      </w:r>
    </w:p>
    <w:p w14:paraId="5988BEE9" w14:textId="408DBF90" w:rsidR="00C91B8F" w:rsidRPr="00EB03CC" w:rsidRDefault="00C91B8F" w:rsidP="00C91B8F">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In summary, GRC is most effective when it becomes part of everyday business activities rather than being viewed as the responsibility of specialist departments alone. Governance establishes direction, risk management supports informed </w:t>
      </w:r>
      <w:r w:rsidR="00EB03CC" w:rsidRPr="00EB03CC">
        <w:rPr>
          <w:rFonts w:ascii="Calibri" w:eastAsia="Times New Roman" w:hAnsi="Calibri" w:cs="Calibri"/>
          <w:kern w:val="0"/>
          <w:sz w:val="21"/>
          <w:szCs w:val="21"/>
          <w14:ligatures w14:val="none"/>
        </w:rPr>
        <w:t>decision-making,</w:t>
      </w:r>
      <w:r w:rsidRPr="00EB03CC">
        <w:rPr>
          <w:rFonts w:ascii="Calibri" w:eastAsia="Times New Roman" w:hAnsi="Calibri" w:cs="Calibri"/>
          <w:kern w:val="0"/>
          <w:sz w:val="21"/>
          <w:szCs w:val="21"/>
          <w14:ligatures w14:val="none"/>
        </w:rPr>
        <w:t xml:space="preserve"> and compliance confirms that legal and </w:t>
      </w:r>
      <w:r w:rsidR="00EB03CC" w:rsidRPr="00EB03CC">
        <w:rPr>
          <w:rFonts w:ascii="Calibri" w:eastAsia="Times New Roman" w:hAnsi="Calibri" w:cs="Calibri"/>
          <w:kern w:val="0"/>
          <w:sz w:val="21"/>
          <w:szCs w:val="21"/>
          <w14:ligatures w14:val="none"/>
        </w:rPr>
        <w:t>organizational</w:t>
      </w:r>
      <w:r w:rsidRPr="00EB03CC">
        <w:rPr>
          <w:rFonts w:ascii="Calibri" w:eastAsia="Times New Roman" w:hAnsi="Calibri" w:cs="Calibri"/>
          <w:kern w:val="0"/>
          <w:sz w:val="21"/>
          <w:szCs w:val="21"/>
          <w14:ligatures w14:val="none"/>
        </w:rPr>
        <w:t xml:space="preserve"> requirements are being met. However, it is the people within business units who ultimately determine whether these principles are successfully put into practice.</w:t>
      </w:r>
    </w:p>
    <w:p w14:paraId="6E10CD07" w14:textId="77777777" w:rsidR="00C91B8F" w:rsidRPr="00EB03CC" w:rsidRDefault="00C91B8F" w:rsidP="00C91B8F">
      <w:pPr>
        <w:spacing w:before="100" w:beforeAutospacing="1" w:after="100" w:afterAutospacing="1" w:line="240" w:lineRule="auto"/>
        <w:outlineLvl w:val="2"/>
        <w:rPr>
          <w:rFonts w:ascii="Calibri" w:eastAsia="Times New Roman" w:hAnsi="Calibri" w:cs="Calibri"/>
          <w:b/>
          <w:bCs/>
          <w:kern w:val="0"/>
          <w:sz w:val="21"/>
          <w:szCs w:val="21"/>
          <w14:ligatures w14:val="none"/>
        </w:rPr>
      </w:pPr>
      <w:r w:rsidRPr="00EB03CC">
        <w:rPr>
          <w:rFonts w:ascii="Calibri" w:eastAsia="Times New Roman" w:hAnsi="Calibri" w:cs="Calibri"/>
          <w:b/>
          <w:bCs/>
          <w:kern w:val="0"/>
          <w:sz w:val="21"/>
          <w:szCs w:val="21"/>
          <w14:ligatures w14:val="none"/>
        </w:rPr>
        <w:t>Practical actions a business-unit leader should take in the next 90 days</w:t>
      </w:r>
    </w:p>
    <w:p w14:paraId="15968453" w14:textId="77777777" w:rsidR="00C91B8F" w:rsidRPr="00EB03CC" w:rsidRDefault="00C91B8F" w:rsidP="00C91B8F">
      <w:pPr>
        <w:numPr>
          <w:ilvl w:val="0"/>
          <w:numId w:val="6"/>
        </w:num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Review the business unit's risk register and confirm that all significant operational, cybersecurity and compliance risks have identified owners and current treatment plans. </w:t>
      </w:r>
    </w:p>
    <w:p w14:paraId="4A5F2484" w14:textId="77777777" w:rsidR="00C91B8F" w:rsidRPr="00EB03CC" w:rsidRDefault="00C91B8F" w:rsidP="00C91B8F">
      <w:pPr>
        <w:numPr>
          <w:ilvl w:val="0"/>
          <w:numId w:val="6"/>
        </w:num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Verify that key controls have assigned owners who understand their responsibilities and perform those controls consistently. </w:t>
      </w:r>
    </w:p>
    <w:p w14:paraId="3F08B6EB" w14:textId="77777777" w:rsidR="00C91B8F" w:rsidRPr="00EB03CC" w:rsidRDefault="00C91B8F" w:rsidP="00C91B8F">
      <w:pPr>
        <w:numPr>
          <w:ilvl w:val="0"/>
          <w:numId w:val="6"/>
        </w:num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Conduct regular reviews of privileged access and user accounts to identify unnecessary permissions, inactive accounts and weaknesses in the access management process. </w:t>
      </w:r>
    </w:p>
    <w:p w14:paraId="4C5E1C7A" w14:textId="77777777" w:rsidR="00C91B8F" w:rsidRPr="00EB03CC" w:rsidRDefault="00C91B8F" w:rsidP="00C91B8F">
      <w:pPr>
        <w:numPr>
          <w:ilvl w:val="0"/>
          <w:numId w:val="6"/>
        </w:num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Improve risk awareness by discussing real operational risks during team meetings and reinforcing why security and compliance controls are important. </w:t>
      </w:r>
    </w:p>
    <w:p w14:paraId="51775C9F" w14:textId="77777777" w:rsidR="00C91B8F" w:rsidRPr="00EB03CC" w:rsidRDefault="00C91B8F" w:rsidP="00C91B8F">
      <w:pPr>
        <w:numPr>
          <w:ilvl w:val="0"/>
          <w:numId w:val="6"/>
        </w:num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lastRenderedPageBreak/>
        <w:t xml:space="preserve">Schedule monthly management review meetings to monitor incidents, control performance, outstanding audit findings and progress on agreed improvement actions. </w:t>
      </w:r>
    </w:p>
    <w:p w14:paraId="6B29139B" w14:textId="77777777" w:rsidR="00C91B8F" w:rsidRPr="00EB03CC" w:rsidRDefault="00C91B8F" w:rsidP="00C91B8F">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b/>
          <w:bCs/>
          <w:kern w:val="0"/>
          <w:sz w:val="21"/>
          <w:szCs w:val="21"/>
          <w14:ligatures w14:val="none"/>
        </w:rPr>
        <w:t>Conclusion</w:t>
      </w:r>
    </w:p>
    <w:p w14:paraId="21E204F7" w14:textId="67762B03" w:rsidR="00C91B8F" w:rsidRPr="00EB03CC" w:rsidRDefault="00C91B8F" w:rsidP="00C91B8F">
      <w:pPr>
        <w:spacing w:before="100" w:beforeAutospacing="1" w:after="100" w:afterAutospacing="1" w:line="240" w:lineRule="auto"/>
        <w:rPr>
          <w:rFonts w:ascii="Calibri" w:eastAsia="Times New Roman" w:hAnsi="Calibri" w:cs="Calibri"/>
          <w:kern w:val="0"/>
          <w:sz w:val="21"/>
          <w:szCs w:val="21"/>
          <w14:ligatures w14:val="none"/>
        </w:rPr>
      </w:pPr>
      <w:r w:rsidRPr="00EB03CC">
        <w:rPr>
          <w:rFonts w:ascii="Calibri" w:eastAsia="Times New Roman" w:hAnsi="Calibri" w:cs="Calibri"/>
          <w:kern w:val="0"/>
          <w:sz w:val="21"/>
          <w:szCs w:val="21"/>
          <w14:ligatures w14:val="none"/>
        </w:rPr>
        <w:t xml:space="preserve">Policies and frameworks provide the foundation for good governance, but they do not manage risk on their own. Effective GRC depends on how well business units understand their responsibilities, perform controls and provide evidence that those controls are working. When governance, risk management and compliance become part of everyday decision-making, </w:t>
      </w:r>
      <w:r w:rsidR="00EB03CC" w:rsidRPr="00EB03CC">
        <w:rPr>
          <w:rFonts w:ascii="Calibri" w:eastAsia="Times New Roman" w:hAnsi="Calibri" w:cs="Calibri"/>
          <w:kern w:val="0"/>
          <w:sz w:val="21"/>
          <w:szCs w:val="21"/>
          <w14:ligatures w14:val="none"/>
        </w:rPr>
        <w:t>organizations</w:t>
      </w:r>
      <w:r w:rsidRPr="00EB03CC">
        <w:rPr>
          <w:rFonts w:ascii="Calibri" w:eastAsia="Times New Roman" w:hAnsi="Calibri" w:cs="Calibri"/>
          <w:kern w:val="0"/>
          <w:sz w:val="21"/>
          <w:szCs w:val="21"/>
          <w14:ligatures w14:val="none"/>
        </w:rPr>
        <w:t xml:space="preserve"> are better equipped to protect their assets, meet regulatory obligations and achieve their business objectives in a sustainable way.</w:t>
      </w:r>
    </w:p>
    <w:sectPr w:rsidR="00C91B8F" w:rsidRPr="00EB03CC">
      <w:footerReference w:type="even"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F22A2C" w14:textId="77777777" w:rsidR="00230552" w:rsidRDefault="00230552" w:rsidP="00E50FE9">
      <w:pPr>
        <w:spacing w:after="0" w:line="240" w:lineRule="auto"/>
      </w:pPr>
      <w:r>
        <w:separator/>
      </w:r>
    </w:p>
  </w:endnote>
  <w:endnote w:type="continuationSeparator" w:id="0">
    <w:p w14:paraId="19B47C80" w14:textId="77777777" w:rsidR="00230552" w:rsidRDefault="00230552" w:rsidP="00E50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E5A36C" w14:textId="2DFBC37C" w:rsidR="00E50FE9" w:rsidRDefault="00E50FE9">
    <w:pPr>
      <w:pStyle w:val="Footer"/>
    </w:pPr>
    <w:r>
      <w:rPr>
        <w:noProof/>
      </w:rPr>
      <mc:AlternateContent>
        <mc:Choice Requires="wps">
          <w:drawing>
            <wp:anchor distT="0" distB="0" distL="0" distR="0" simplePos="0" relativeHeight="251659264" behindDoc="0" locked="0" layoutInCell="1" allowOverlap="1" wp14:anchorId="2E8734CE" wp14:editId="2C2F8A04">
              <wp:simplePos x="635" y="635"/>
              <wp:positionH relativeFrom="page">
                <wp:align>right</wp:align>
              </wp:positionH>
              <wp:positionV relativeFrom="page">
                <wp:align>bottom</wp:align>
              </wp:positionV>
              <wp:extent cx="1515110" cy="370205"/>
              <wp:effectExtent l="0" t="0" r="0" b="0"/>
              <wp:wrapNone/>
              <wp:docPr id="740102946" name="Text Box 2" descr="C2 - Safaricom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5110" cy="370205"/>
                      </a:xfrm>
                      <a:prstGeom prst="rect">
                        <a:avLst/>
                      </a:prstGeom>
                      <a:noFill/>
                      <a:ln>
                        <a:noFill/>
                      </a:ln>
                    </wps:spPr>
                    <wps:txbx>
                      <w:txbxContent>
                        <w:p w14:paraId="3B8C82CE" w14:textId="1882E1E5" w:rsidR="00E50FE9" w:rsidRPr="00E50FE9" w:rsidRDefault="00E50FE9" w:rsidP="00E50FE9">
                          <w:pPr>
                            <w:spacing w:after="0"/>
                            <w:rPr>
                              <w:rFonts w:ascii="Aptos" w:eastAsia="Aptos" w:hAnsi="Aptos" w:cs="Aptos"/>
                              <w:noProof/>
                              <w:color w:val="000000"/>
                              <w:sz w:val="20"/>
                              <w:szCs w:val="20"/>
                            </w:rPr>
                          </w:pPr>
                          <w:r w:rsidRPr="00E50FE9">
                            <w:rPr>
                              <w:rFonts w:ascii="Aptos" w:eastAsia="Aptos" w:hAnsi="Aptos" w:cs="Aptos"/>
                              <w:noProof/>
                              <w:color w:val="000000"/>
                              <w:sz w:val="20"/>
                              <w:szCs w:val="20"/>
                            </w:rPr>
                            <w:t>C2 - Safaricom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E8734CE" id="_x0000_t202" coordsize="21600,21600" o:spt="202" path="m,l,21600r21600,l21600,xe">
              <v:stroke joinstyle="miter"/>
              <v:path gradientshapeok="t" o:connecttype="rect"/>
            </v:shapetype>
            <v:shape id="Text Box 2" o:spid="_x0000_s1026" type="#_x0000_t202" alt="C2 - Safaricom Internal" style="position:absolute;margin-left:68.1pt;margin-top:0;width:119.3pt;height:29.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" filled="f" stroked="f">
              <v:textbox style="mso-fit-shape-to-text:t" inset="0,0,20pt,15pt">
                <w:txbxContent>
                  <w:p w14:paraId="3B8C82CE" w14:textId="1882E1E5" w:rsidR="00E50FE9" w:rsidRPr="00E50FE9" w:rsidRDefault="00E50FE9" w:rsidP="00E50FE9">
                    <w:pPr>
                      <w:spacing w:after="0"/>
                      <w:rPr>
                        <w:rFonts w:ascii="Aptos" w:eastAsia="Aptos" w:hAnsi="Aptos" w:cs="Aptos"/>
                        <w:noProof/>
                        <w:color w:val="000000"/>
                        <w:sz w:val="20"/>
                        <w:szCs w:val="20"/>
                      </w:rPr>
                    </w:pPr>
                    <w:r w:rsidRPr="00E50FE9">
                      <w:rPr>
                        <w:rFonts w:ascii="Aptos" w:eastAsia="Aptos" w:hAnsi="Aptos" w:cs="Aptos"/>
                        <w:noProof/>
                        <w:color w:val="000000"/>
                        <w:sz w:val="20"/>
                        <w:szCs w:val="20"/>
                      </w:rPr>
                      <w:t>C2 - Safaricom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4B5E6B" w14:textId="5A2058CF" w:rsidR="00E50FE9" w:rsidRDefault="00E50FE9">
    <w:pPr>
      <w:pStyle w:val="Footer"/>
    </w:pPr>
    <w:r>
      <w:rPr>
        <w:noProof/>
      </w:rPr>
      <mc:AlternateContent>
        <mc:Choice Requires="wps">
          <w:drawing>
            <wp:anchor distT="0" distB="0" distL="0" distR="0" simplePos="0" relativeHeight="251658240" behindDoc="0" locked="0" layoutInCell="1" allowOverlap="1" wp14:anchorId="25FBE1D4" wp14:editId="2C554905">
              <wp:simplePos x="635" y="635"/>
              <wp:positionH relativeFrom="page">
                <wp:align>right</wp:align>
              </wp:positionH>
              <wp:positionV relativeFrom="page">
                <wp:align>bottom</wp:align>
              </wp:positionV>
              <wp:extent cx="1515110" cy="370205"/>
              <wp:effectExtent l="0" t="0" r="0" b="0"/>
              <wp:wrapNone/>
              <wp:docPr id="2062526776" name="Text Box 1" descr="C2 - Safaricom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5110" cy="370205"/>
                      </a:xfrm>
                      <a:prstGeom prst="rect">
                        <a:avLst/>
                      </a:prstGeom>
                      <a:noFill/>
                      <a:ln>
                        <a:noFill/>
                      </a:ln>
                    </wps:spPr>
                    <wps:txbx>
                      <w:txbxContent>
                        <w:p w14:paraId="64435BFE" w14:textId="072D0900" w:rsidR="00E50FE9" w:rsidRPr="00E50FE9" w:rsidRDefault="00E50FE9" w:rsidP="00E50FE9">
                          <w:pPr>
                            <w:spacing w:after="0"/>
                            <w:rPr>
                              <w:rFonts w:ascii="Aptos" w:eastAsia="Aptos" w:hAnsi="Aptos" w:cs="Aptos"/>
                              <w:noProof/>
                              <w:color w:val="000000"/>
                              <w:sz w:val="20"/>
                              <w:szCs w:val="20"/>
                            </w:rPr>
                          </w:pPr>
                          <w:r w:rsidRPr="00E50FE9">
                            <w:rPr>
                              <w:rFonts w:ascii="Aptos" w:eastAsia="Aptos" w:hAnsi="Aptos" w:cs="Aptos"/>
                              <w:noProof/>
                              <w:color w:val="000000"/>
                              <w:sz w:val="20"/>
                              <w:szCs w:val="20"/>
                            </w:rPr>
                            <w:t>C2 - Safaricom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5FBE1D4" id="_x0000_t202" coordsize="21600,21600" o:spt="202" path="m,l,21600r21600,l21600,xe">
              <v:stroke joinstyle="miter"/>
              <v:path gradientshapeok="t" o:connecttype="rect"/>
            </v:shapetype>
            <v:shape id="Text Box 1" o:spid="_x0000_s1027" type="#_x0000_t202" alt="C2 - Safaricom Internal" style="position:absolute;margin-left:68.1pt;margin-top:0;width:119.3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" filled="f" stroked="f">
              <v:textbox style="mso-fit-shape-to-text:t" inset="0,0,20pt,15pt">
                <w:txbxContent>
                  <w:p w14:paraId="64435BFE" w14:textId="072D0900" w:rsidR="00E50FE9" w:rsidRPr="00E50FE9" w:rsidRDefault="00E50FE9" w:rsidP="00E50FE9">
                    <w:pPr>
                      <w:spacing w:after="0"/>
                      <w:rPr>
                        <w:rFonts w:ascii="Aptos" w:eastAsia="Aptos" w:hAnsi="Aptos" w:cs="Aptos"/>
                        <w:noProof/>
                        <w:color w:val="000000"/>
                        <w:sz w:val="20"/>
                        <w:szCs w:val="20"/>
                      </w:rPr>
                    </w:pPr>
                    <w:r w:rsidRPr="00E50FE9">
                      <w:rPr>
                        <w:rFonts w:ascii="Aptos" w:eastAsia="Aptos" w:hAnsi="Aptos" w:cs="Aptos"/>
                        <w:noProof/>
                        <w:color w:val="000000"/>
                        <w:sz w:val="20"/>
                        <w:szCs w:val="20"/>
                      </w:rPr>
                      <w:t>C2 - Safaricom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DCBBA7" w14:textId="77777777" w:rsidR="00230552" w:rsidRDefault="00230552" w:rsidP="00E50FE9">
      <w:pPr>
        <w:spacing w:after="0" w:line="240" w:lineRule="auto"/>
      </w:pPr>
      <w:r>
        <w:separator/>
      </w:r>
    </w:p>
  </w:footnote>
  <w:footnote w:type="continuationSeparator" w:id="0">
    <w:p w14:paraId="4971F509" w14:textId="77777777" w:rsidR="00230552" w:rsidRDefault="00230552" w:rsidP="00E50F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0D7354"/>
    <w:multiLevelType w:val="multilevel"/>
    <w:tmpl w:val="7ED4F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9404E"/>
    <w:multiLevelType w:val="multilevel"/>
    <w:tmpl w:val="85B0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42523"/>
    <w:multiLevelType w:val="multilevel"/>
    <w:tmpl w:val="D9FC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31765"/>
    <w:multiLevelType w:val="multilevel"/>
    <w:tmpl w:val="76F07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BA5A5B"/>
    <w:multiLevelType w:val="multilevel"/>
    <w:tmpl w:val="26666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3A1C86"/>
    <w:multiLevelType w:val="multilevel"/>
    <w:tmpl w:val="0978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505F25"/>
    <w:multiLevelType w:val="multilevel"/>
    <w:tmpl w:val="99DC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636225">
    <w:abstractNumId w:val="5"/>
  </w:num>
  <w:num w:numId="2" w16cid:durableId="777335253">
    <w:abstractNumId w:val="4"/>
  </w:num>
  <w:num w:numId="3" w16cid:durableId="1448889872">
    <w:abstractNumId w:val="1"/>
  </w:num>
  <w:num w:numId="4" w16cid:durableId="654382482">
    <w:abstractNumId w:val="6"/>
  </w:num>
  <w:num w:numId="5" w16cid:durableId="1583638215">
    <w:abstractNumId w:val="3"/>
  </w:num>
  <w:num w:numId="6" w16cid:durableId="602689646">
    <w:abstractNumId w:val="0"/>
  </w:num>
  <w:num w:numId="7" w16cid:durableId="106005261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934"/>
    <w:rsid w:val="001B579B"/>
    <w:rsid w:val="00230552"/>
    <w:rsid w:val="00325450"/>
    <w:rsid w:val="00365AEF"/>
    <w:rsid w:val="00451978"/>
    <w:rsid w:val="004D5119"/>
    <w:rsid w:val="005D1266"/>
    <w:rsid w:val="005E6E58"/>
    <w:rsid w:val="007C0392"/>
    <w:rsid w:val="0082209C"/>
    <w:rsid w:val="00854F0C"/>
    <w:rsid w:val="00902325"/>
    <w:rsid w:val="00A7258C"/>
    <w:rsid w:val="00A85090"/>
    <w:rsid w:val="00AD55DA"/>
    <w:rsid w:val="00B86626"/>
    <w:rsid w:val="00BF3FC8"/>
    <w:rsid w:val="00C55934"/>
    <w:rsid w:val="00C91B8F"/>
    <w:rsid w:val="00DF6028"/>
    <w:rsid w:val="00E50FE9"/>
    <w:rsid w:val="00EB03CC"/>
    <w:rsid w:val="00FB745D"/>
    <w:rsid w:val="00FD3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FEBC7E2"/>
  <w15:chartTrackingRefBased/>
  <w15:docId w15:val="{D5CC0070-9AEE-7641-8F89-653C66AC3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9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59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59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9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9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9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9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9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9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9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59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59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9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9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9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9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9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934"/>
    <w:rPr>
      <w:rFonts w:eastAsiaTheme="majorEastAsia" w:cstheme="majorBidi"/>
      <w:color w:val="272727" w:themeColor="text1" w:themeTint="D8"/>
    </w:rPr>
  </w:style>
  <w:style w:type="paragraph" w:styleId="Title">
    <w:name w:val="Title"/>
    <w:basedOn w:val="Normal"/>
    <w:next w:val="Normal"/>
    <w:link w:val="TitleChar"/>
    <w:uiPriority w:val="10"/>
    <w:qFormat/>
    <w:rsid w:val="00C55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9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9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9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934"/>
    <w:pPr>
      <w:spacing w:before="160"/>
      <w:jc w:val="center"/>
    </w:pPr>
    <w:rPr>
      <w:i/>
      <w:iCs/>
      <w:color w:val="404040" w:themeColor="text1" w:themeTint="BF"/>
    </w:rPr>
  </w:style>
  <w:style w:type="character" w:customStyle="1" w:styleId="QuoteChar">
    <w:name w:val="Quote Char"/>
    <w:basedOn w:val="DefaultParagraphFont"/>
    <w:link w:val="Quote"/>
    <w:uiPriority w:val="29"/>
    <w:rsid w:val="00C55934"/>
    <w:rPr>
      <w:i/>
      <w:iCs/>
      <w:color w:val="404040" w:themeColor="text1" w:themeTint="BF"/>
    </w:rPr>
  </w:style>
  <w:style w:type="paragraph" w:styleId="ListParagraph">
    <w:name w:val="List Paragraph"/>
    <w:basedOn w:val="Normal"/>
    <w:uiPriority w:val="34"/>
    <w:qFormat/>
    <w:rsid w:val="00C55934"/>
    <w:pPr>
      <w:ind w:left="720"/>
      <w:contextualSpacing/>
    </w:pPr>
  </w:style>
  <w:style w:type="character" w:styleId="IntenseEmphasis">
    <w:name w:val="Intense Emphasis"/>
    <w:basedOn w:val="DefaultParagraphFont"/>
    <w:uiPriority w:val="21"/>
    <w:qFormat/>
    <w:rsid w:val="00C55934"/>
    <w:rPr>
      <w:i/>
      <w:iCs/>
      <w:color w:val="0F4761" w:themeColor="accent1" w:themeShade="BF"/>
    </w:rPr>
  </w:style>
  <w:style w:type="paragraph" w:styleId="IntenseQuote">
    <w:name w:val="Intense Quote"/>
    <w:basedOn w:val="Normal"/>
    <w:next w:val="Normal"/>
    <w:link w:val="IntenseQuoteChar"/>
    <w:uiPriority w:val="30"/>
    <w:qFormat/>
    <w:rsid w:val="00C559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934"/>
    <w:rPr>
      <w:i/>
      <w:iCs/>
      <w:color w:val="0F4761" w:themeColor="accent1" w:themeShade="BF"/>
    </w:rPr>
  </w:style>
  <w:style w:type="character" w:styleId="IntenseReference">
    <w:name w:val="Intense Reference"/>
    <w:basedOn w:val="DefaultParagraphFont"/>
    <w:uiPriority w:val="32"/>
    <w:qFormat/>
    <w:rsid w:val="00C55934"/>
    <w:rPr>
      <w:b/>
      <w:bCs/>
      <w:smallCaps/>
      <w:color w:val="0F4761" w:themeColor="accent1" w:themeShade="BF"/>
      <w:spacing w:val="5"/>
    </w:rPr>
  </w:style>
  <w:style w:type="paragraph" w:customStyle="1" w:styleId="pdq2pgselectionanchorcontainer">
    <w:name w:val="pdq2pg_selectionanchorcontainer"/>
    <w:basedOn w:val="Normal"/>
    <w:rsid w:val="00C559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5934"/>
    <w:rPr>
      <w:b/>
      <w:bCs/>
    </w:rPr>
  </w:style>
  <w:style w:type="paragraph" w:styleId="NormalWeb">
    <w:name w:val="Normal (Web)"/>
    <w:basedOn w:val="Normal"/>
    <w:uiPriority w:val="99"/>
    <w:semiHidden/>
    <w:unhideWhenUsed/>
    <w:rsid w:val="00C5593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C559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5593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55934"/>
    <w:rPr>
      <w:rFonts w:ascii="Courier New" w:eastAsia="Times New Roman" w:hAnsi="Courier New" w:cs="Courier New"/>
      <w:sz w:val="20"/>
      <w:szCs w:val="20"/>
    </w:rPr>
  </w:style>
  <w:style w:type="character" w:customStyle="1" w:styleId="normaltextrun">
    <w:name w:val="normaltextrun"/>
    <w:basedOn w:val="DefaultParagraphFont"/>
    <w:rsid w:val="0082209C"/>
  </w:style>
  <w:style w:type="character" w:customStyle="1" w:styleId="eop">
    <w:name w:val="eop"/>
    <w:basedOn w:val="DefaultParagraphFont"/>
    <w:rsid w:val="0082209C"/>
  </w:style>
  <w:style w:type="paragraph" w:styleId="Footer">
    <w:name w:val="footer"/>
    <w:basedOn w:val="Normal"/>
    <w:link w:val="FooterChar"/>
    <w:uiPriority w:val="99"/>
    <w:unhideWhenUsed/>
    <w:rsid w:val="00E50F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FE9"/>
  </w:style>
  <w:style w:type="character" w:styleId="Emphasis">
    <w:name w:val="Emphasis"/>
    <w:basedOn w:val="DefaultParagraphFont"/>
    <w:uiPriority w:val="20"/>
    <w:qFormat/>
    <w:rsid w:val="00854F0C"/>
    <w:rPr>
      <w:i/>
      <w:iCs/>
    </w:rPr>
  </w:style>
  <w:style w:type="paragraph" w:styleId="Header">
    <w:name w:val="header"/>
    <w:basedOn w:val="Normal"/>
    <w:link w:val="HeaderChar"/>
    <w:uiPriority w:val="99"/>
    <w:unhideWhenUsed/>
    <w:rsid w:val="00BF3F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3F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12</Pages>
  <Words>4557</Words>
  <Characters>25980</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Imelda Nabwire Sanya</dc:creator>
  <cp:keywords/>
  <dc:description/>
  <cp:lastModifiedBy>Imelda Nabwire Sanya</cp:lastModifiedBy>
  <cp:revision>6</cp:revision>
  <dcterms:created xsi:type="dcterms:W3CDTF">2026-07-19T17:53:00Z</dcterms:created>
  <dcterms:modified xsi:type="dcterms:W3CDTF">2026-07-23T17:16:00Z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7aefa938,2c1d1322,50b6890c</vt:lpwstr>
  </property>
  <property fmtid="{D5CDD505-2E9C-101B-9397-08002B2CF9AE}" pid="3" name="ClassificationContentMarkingFooterFontProps">
    <vt:lpwstr>#000000,10,Aptos</vt:lpwstr>
  </property>
  <property fmtid="{D5CDD505-2E9C-101B-9397-08002B2CF9AE}" pid="4" name="ClassificationContentMarkingFooterText">
    <vt:lpwstr>C2 - Safaricom Internal</vt:lpwstr>
  </property>
  <property fmtid="{D5CDD505-2E9C-101B-9397-08002B2CF9AE}" pid="5" name="MSIP_Label_6926a360-01f4-41de-a997-796697102599_Enabled">
    <vt:lpwstr>true</vt:lpwstr>
  </property>
  <property fmtid="{D5CDD505-2E9C-101B-9397-08002B2CF9AE}" pid="6" name="MSIP_Label_6926a360-01f4-41de-a997-796697102599_SetDate">
    <vt:lpwstr>2026-07-19T18:53:25Z</vt:lpwstr>
  </property>
  <property fmtid="{D5CDD505-2E9C-101B-9397-08002B2CF9AE}" pid="7" name="MSIP_Label_6926a360-01f4-41de-a997-796697102599_Method">
    <vt:lpwstr>Standard</vt:lpwstr>
  </property>
  <property fmtid="{D5CDD505-2E9C-101B-9397-08002B2CF9AE}" pid="8" name="MSIP_Label_6926a360-01f4-41de-a997-796697102599_Name">
    <vt:lpwstr>6926a360-01f4-41de-a997-796697102599</vt:lpwstr>
  </property>
  <property fmtid="{D5CDD505-2E9C-101B-9397-08002B2CF9AE}" pid="9" name="MSIP_Label_6926a360-01f4-41de-a997-796697102599_SiteId">
    <vt:lpwstr>19a4db07-607d-475f-a518-0e3b699ac7d0</vt:lpwstr>
  </property>
  <property fmtid="{D5CDD505-2E9C-101B-9397-08002B2CF9AE}" pid="10" name="MSIP_Label_6926a360-01f4-41de-a997-796697102599_ActionId">
    <vt:lpwstr>e601c7b1-4d7c-4f5c-a636-60dbbac024ae</vt:lpwstr>
  </property>
  <property fmtid="{D5CDD505-2E9C-101B-9397-08002B2CF9AE}" pid="11" name="MSIP_Label_6926a360-01f4-41de-a997-796697102599_ContentBits">
    <vt:lpwstr>2</vt:lpwstr>
  </property>
  <property fmtid="{D5CDD505-2E9C-101B-9397-08002B2CF9AE}" pid="12" name="MSIP_Label_6926a360-01f4-41de-a997-796697102599_Tag">
    <vt:lpwstr>50, 3, 0, 1</vt:lpwstr>
  </property>
</Properties>
</file>