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54" w:rsidRDefault="00F76AFB">
      <w:pPr>
        <w:tabs>
          <w:tab w:val="center" w:pos="4677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Государственное бюджетное профессиональное</w:t>
      </w:r>
    </w:p>
    <w:p w:rsidR="00515B54" w:rsidRDefault="00F7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образовательное учреждение Московской области</w:t>
      </w:r>
    </w:p>
    <w:p w:rsidR="00515B54" w:rsidRDefault="00F76AF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«Физико-технический колледж»</w:t>
      </w:r>
    </w:p>
    <w:p w:rsidR="00515B54" w:rsidRDefault="00F76AFB">
      <w:pPr>
        <w:spacing w:before="3000" w:after="0" w:line="240" w:lineRule="auto"/>
        <w:jc w:val="center"/>
        <w:rPr>
          <w:rFonts w:ascii="Times New Roman" w:eastAsia="Times New Roman" w:hAnsi="Times New Roman"/>
          <w:b/>
          <w:sz w:val="48"/>
          <w:szCs w:val="48"/>
        </w:rPr>
      </w:pPr>
      <w:r>
        <w:rPr>
          <w:rFonts w:ascii="Times New Roman" w:eastAsia="Times New Roman" w:hAnsi="Times New Roman"/>
          <w:b/>
          <w:sz w:val="48"/>
          <w:szCs w:val="48"/>
        </w:rPr>
        <w:t>Исследовательский аналитический анализ:</w:t>
      </w:r>
    </w:p>
    <w:p w:rsidR="00515B54" w:rsidRDefault="00F76AFB">
      <w:pPr>
        <w:spacing w:before="600" w:after="300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i/>
          <w:sz w:val="40"/>
          <w:szCs w:val="40"/>
        </w:rPr>
        <w:t>«</w:t>
      </w:r>
      <w:r>
        <w:rPr>
          <w:rFonts w:ascii="Times New Roman" w:eastAsia="Times New Roman" w:hAnsi="Times New Roman"/>
          <w:b/>
          <w:bCs/>
          <w:i/>
          <w:sz w:val="40"/>
          <w:szCs w:val="40"/>
        </w:rPr>
        <w:t xml:space="preserve">Модель оценки цены квартиры на рынке по Московскому региону: Москва, Новая Москва, Московская </w:t>
      </w:r>
      <w:r>
        <w:rPr>
          <w:rFonts w:ascii="Times New Roman" w:eastAsia="Times New Roman" w:hAnsi="Times New Roman"/>
          <w:b/>
          <w:bCs/>
          <w:i/>
          <w:sz w:val="40"/>
          <w:szCs w:val="40"/>
        </w:rPr>
        <w:t>область</w:t>
      </w:r>
      <w:r>
        <w:rPr>
          <w:rFonts w:ascii="Times New Roman" w:eastAsia="Times New Roman" w:hAnsi="Times New Roman"/>
          <w:b/>
          <w:i/>
          <w:sz w:val="40"/>
          <w:szCs w:val="40"/>
        </w:rPr>
        <w:t>»</w:t>
      </w:r>
    </w:p>
    <w:p w:rsidR="00515B54" w:rsidRDefault="00F76AFB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Работу выполнила:</w:t>
      </w:r>
    </w:p>
    <w:p w:rsidR="00515B54" w:rsidRDefault="00F76AFB">
      <w:pPr>
        <w:spacing w:after="0" w:line="240" w:lineRule="auto"/>
        <w:ind w:left="453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группы № ИСП-21</w:t>
      </w:r>
    </w:p>
    <w:p w:rsidR="00515B54" w:rsidRDefault="00F76AFB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Пушмин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Александр</w:t>
      </w:r>
    </w:p>
    <w:p w:rsidR="00515B54" w:rsidRDefault="00515B54">
      <w:pPr>
        <w:spacing w:after="0" w:line="240" w:lineRule="auto"/>
        <w:ind w:left="4536"/>
        <w:rPr>
          <w:rFonts w:ascii="Times New Roman" w:eastAsia="Times New Roman" w:hAnsi="Times New Roman"/>
          <w:sz w:val="28"/>
          <w:szCs w:val="28"/>
        </w:rPr>
      </w:pPr>
    </w:p>
    <w:p w:rsidR="00515B54" w:rsidRDefault="00F76AFB">
      <w:pPr>
        <w:spacing w:before="1800" w:after="24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bookmarkStart w:id="0" w:name="_Hlk160575927"/>
      <w:r>
        <w:rPr>
          <w:rFonts w:ascii="Times New Roman" w:eastAsia="Times New Roman" w:hAnsi="Times New Roman"/>
          <w:sz w:val="28"/>
          <w:szCs w:val="28"/>
        </w:rPr>
        <w:t>Долгопрудный, 2024</w:t>
      </w:r>
      <w:bookmarkEnd w:id="0"/>
    </w:p>
    <w:p w:rsidR="00515B54" w:rsidRDefault="00F76AF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br w:type="page"/>
      </w:r>
    </w:p>
    <w:p w:rsidR="00515B54" w:rsidRPr="00F846D0" w:rsidRDefault="00F76AFB" w:rsidP="00F846D0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b/>
          <w:bCs/>
          <w:sz w:val="28"/>
          <w:szCs w:val="28"/>
        </w:rPr>
        <w:lastRenderedPageBreak/>
        <w:t>АННОТАЦИЯ</w:t>
      </w:r>
      <w:r w:rsidRPr="00F846D0">
        <w:rPr>
          <w:rFonts w:ascii="Times New Roman" w:hAnsi="Times New Roman"/>
          <w:b/>
          <w:bCs/>
          <w:sz w:val="28"/>
          <w:szCs w:val="28"/>
        </w:rPr>
        <w:br/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В современных условиях крайне важно отслеживать колебания цен на жильё и выбирать наиболее подходящий момент для покупки недвижимости в Москве и Подмосковь</w:t>
      </w:r>
      <w:r w:rsidRPr="00F846D0">
        <w:rPr>
          <w:rFonts w:ascii="Times New Roman" w:hAnsi="Times New Roman"/>
          <w:sz w:val="28"/>
          <w:szCs w:val="28"/>
        </w:rPr>
        <w:t>е. Регулярный мониторинг цен и анализ рыночных тенденций позволяют не только определить лучшее время для приобретения, но и оценить факторы, способные повлиять на стоимость в будущем, такие как развитие инфраструктуры, новые жилые комплексы, транспортная д</w:t>
      </w:r>
      <w:r w:rsidRPr="00F846D0">
        <w:rPr>
          <w:rFonts w:ascii="Times New Roman" w:hAnsi="Times New Roman"/>
          <w:sz w:val="28"/>
          <w:szCs w:val="28"/>
        </w:rPr>
        <w:t>оступность. Правильный анализ рынка помогает минимизировать риски, оптимизировать расходы и принять более обоснованное решение, что особенно актуально в условиях экономической нестабильности.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Целью анализа является: собрать данные и провести разведочный ис</w:t>
      </w:r>
      <w:r w:rsidRPr="00F846D0">
        <w:rPr>
          <w:rFonts w:ascii="Times New Roman" w:hAnsi="Times New Roman"/>
          <w:sz w:val="28"/>
          <w:szCs w:val="28"/>
        </w:rPr>
        <w:t>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>Задачи, которые необходимо выполнить для достижения цели: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 xml:space="preserve">1. определить </w:t>
      </w:r>
      <w:r w:rsidRPr="00F846D0">
        <w:rPr>
          <w:rFonts w:ascii="Times New Roman" w:hAnsi="Times New Roman"/>
          <w:color w:val="000000"/>
          <w:sz w:val="28"/>
          <w:szCs w:val="28"/>
        </w:rPr>
        <w:t>перечень параметров, значительно влияющих на стоимость квадратного метра жилой недвижимости;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 xml:space="preserve">2. с учетом ранее выявленных факторов провести сбор данных по квартирам на продажу с использованием различных </w:t>
      </w:r>
      <w:proofErr w:type="spellStart"/>
      <w:r w:rsidRPr="00F846D0">
        <w:rPr>
          <w:rFonts w:ascii="Times New Roman" w:hAnsi="Times New Roman"/>
          <w:color w:val="000000"/>
          <w:sz w:val="28"/>
          <w:szCs w:val="28"/>
        </w:rPr>
        <w:t>парсеров</w:t>
      </w:r>
      <w:proofErr w:type="spellEnd"/>
      <w:r w:rsidRPr="00F846D0">
        <w:rPr>
          <w:rFonts w:ascii="Times New Roman" w:hAnsi="Times New Roman"/>
          <w:color w:val="000000"/>
          <w:sz w:val="28"/>
          <w:szCs w:val="28"/>
        </w:rPr>
        <w:t>;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>3. подготовить данные для дальнейшего анали</w:t>
      </w:r>
      <w:r w:rsidRPr="00F846D0">
        <w:rPr>
          <w:rFonts w:ascii="Times New Roman" w:hAnsi="Times New Roman"/>
          <w:color w:val="000000"/>
          <w:sz w:val="28"/>
          <w:szCs w:val="28"/>
        </w:rPr>
        <w:t>за: проверить на наличие пропусков, выбросов и ошибок;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  <w:sectPr w:rsidR="00515B54" w:rsidRPr="00F846D0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 w:rsidRPr="00F846D0">
        <w:rPr>
          <w:rFonts w:ascii="Times New Roman" w:hAnsi="Times New Roman"/>
          <w:color w:val="000000"/>
          <w:sz w:val="28"/>
          <w:szCs w:val="28"/>
        </w:rPr>
        <w:t>4. обработать обнаруженные аномалии (удалить или заполнить их).</w:t>
      </w:r>
    </w:p>
    <w:p w:rsidR="00515B54" w:rsidRPr="00F846D0" w:rsidRDefault="00F76AFB" w:rsidP="00F846D0">
      <w:pPr>
        <w:spacing w:before="100" w:beforeAutospacing="1" w:after="100" w:afterAutospacing="1" w:line="360" w:lineRule="auto"/>
        <w:jc w:val="center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  <w:r w:rsidRPr="00F846D0">
        <w:rPr>
          <w:rFonts w:ascii="Times New Roman" w:hAnsi="Times New Roman"/>
          <w:b/>
          <w:bCs/>
          <w:sz w:val="28"/>
          <w:szCs w:val="28"/>
        </w:rPr>
        <w:br/>
      </w:r>
    </w:p>
    <w:p w:rsid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 xml:space="preserve">Рынок жилой недвижимости в Москве отличается высокой динамичностью, и его анализ помогает выявить </w:t>
      </w:r>
      <w:r w:rsidRPr="00F846D0">
        <w:rPr>
          <w:rFonts w:ascii="Times New Roman" w:hAnsi="Times New Roman"/>
          <w:color w:val="000000"/>
          <w:sz w:val="28"/>
          <w:szCs w:val="28"/>
        </w:rPr>
        <w:t>наиболее подходящие моменты для покупки жилья, что может существенно сэкономить средства потенциальным покупателям. Как столица Российской Федерации, Москва привлекает множество желающих приобрести недвижимость, что обеспечивает стабильный высокий спрос на</w:t>
      </w:r>
      <w:r w:rsidRPr="00F846D0">
        <w:rPr>
          <w:rFonts w:ascii="Times New Roman" w:hAnsi="Times New Roman"/>
          <w:color w:val="000000"/>
          <w:sz w:val="28"/>
          <w:szCs w:val="28"/>
        </w:rPr>
        <w:t xml:space="preserve"> жилье. В то же время на рынке существуют определенные тенденции, при которых цены на жилье снижаются, открывая привлекательные возможности для покупки.</w:t>
      </w:r>
      <w:r w:rsidR="00F846D0">
        <w:rPr>
          <w:rFonts w:ascii="Times New Roman" w:hAnsi="Times New Roman"/>
          <w:sz w:val="28"/>
          <w:szCs w:val="28"/>
        </w:rPr>
        <w:br/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>Кроме того, рынок недвижимости в столице подвержен влиянию как внешних, так и внутренних экономических</w:t>
      </w:r>
      <w:r w:rsidRPr="00F846D0">
        <w:rPr>
          <w:rFonts w:ascii="Times New Roman" w:hAnsi="Times New Roman"/>
          <w:color w:val="000000"/>
          <w:sz w:val="28"/>
          <w:szCs w:val="28"/>
        </w:rPr>
        <w:t xml:space="preserve"> факторов, среди которых изменения в ипотечных ставках, политическая и экономическая обстановка, а также государственные меры регулирования. Эти факторы могут значительно влиять на колебания цен, создавая как выгодные, так и неблагоприятные условия для пок</w:t>
      </w:r>
      <w:r w:rsidRPr="00F846D0">
        <w:rPr>
          <w:rFonts w:ascii="Times New Roman" w:hAnsi="Times New Roman"/>
          <w:color w:val="000000"/>
          <w:sz w:val="28"/>
          <w:szCs w:val="28"/>
        </w:rPr>
        <w:t>упателей. Изучение этих факторов и их влияние на стоимость жилья позволяет лучше понять потенциальные изменения на рынке в краткосрочной и долгосрочной перспективе.</w:t>
      </w:r>
    </w:p>
    <w:p w:rsidR="00F846D0" w:rsidRDefault="00F846D0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br w:type="page"/>
      </w:r>
    </w:p>
    <w:p w:rsidR="00515B54" w:rsidRPr="00F846D0" w:rsidRDefault="00F76AFB" w:rsidP="00F846D0">
      <w:pPr>
        <w:pStyle w:val="a9"/>
        <w:spacing w:before="100" w:beforeAutospacing="1" w:after="100" w:afterAutospacing="1" w:line="360" w:lineRule="auto"/>
        <w:jc w:val="center"/>
        <w:rPr>
          <w:caps/>
          <w:sz w:val="28"/>
          <w:szCs w:val="28"/>
        </w:rPr>
      </w:pPr>
      <w:r w:rsidRPr="00F846D0">
        <w:rPr>
          <w:b/>
          <w:caps/>
          <w:color w:val="000000"/>
          <w:sz w:val="28"/>
          <w:szCs w:val="28"/>
          <w:shd w:val="clear" w:color="auto" w:fill="FFFFFF"/>
        </w:rPr>
        <w:lastRenderedPageBreak/>
        <w:t>Основная часть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Для проведения исследования были взяты данные из открытых источников — сайт</w:t>
      </w:r>
      <w:r w:rsidRPr="00F846D0">
        <w:rPr>
          <w:rFonts w:ascii="Times New Roman" w:hAnsi="Times New Roman"/>
          <w:sz w:val="28"/>
          <w:szCs w:val="28"/>
        </w:rPr>
        <w:t>а по продаже недвижимости ЦИАН. В используемом наборе данных содержится 10 тыс. записей.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 xml:space="preserve">Первичный анализ показал, что использовать исходные данные для построения оценки стоимости жилья было затруднительно из-за наличия значительных «выбросов». </w:t>
      </w:r>
    </w:p>
    <w:p w:rsidR="00515B54" w:rsidRPr="00F846D0" w:rsidRDefault="00F846D0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noProof/>
          <w:lang w:eastAsia="ru-RU"/>
        </w:rPr>
        <w:drawing>
          <wp:anchor distT="0" distB="0" distL="0" distR="0" simplePos="0" relativeHeight="251635712" behindDoc="0" locked="0" layoutInCell="0" allowOverlap="1" wp14:anchorId="0A5F106B" wp14:editId="7C0594F6">
            <wp:simplePos x="0" y="0"/>
            <wp:positionH relativeFrom="column">
              <wp:posOffset>3900170</wp:posOffset>
            </wp:positionH>
            <wp:positionV relativeFrom="paragraph">
              <wp:posOffset>260985</wp:posOffset>
            </wp:positionV>
            <wp:extent cx="1556385" cy="239458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19" t="10662" r="73084" b="51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6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251631616" behindDoc="0" locked="0" layoutInCell="0" allowOverlap="1" wp14:anchorId="7F1C19A9" wp14:editId="74115C28">
            <wp:simplePos x="0" y="0"/>
            <wp:positionH relativeFrom="column">
              <wp:posOffset>-180975</wp:posOffset>
            </wp:positionH>
            <wp:positionV relativeFrom="paragraph">
              <wp:posOffset>12700</wp:posOffset>
            </wp:positionV>
            <wp:extent cx="3846195" cy="330009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AFB" w:rsidRPr="00F846D0">
        <w:rPr>
          <w:rFonts w:ascii="Times New Roman" w:hAnsi="Times New Roman"/>
          <w:sz w:val="28"/>
          <w:szCs w:val="28"/>
        </w:rPr>
        <w:br/>
      </w:r>
      <w:r w:rsidR="00F76AFB" w:rsidRPr="00F846D0">
        <w:rPr>
          <w:rFonts w:ascii="Times New Roman" w:hAnsi="Times New Roman"/>
          <w:sz w:val="28"/>
          <w:szCs w:val="28"/>
        </w:rPr>
        <w:br/>
      </w:r>
      <w:r w:rsidR="00F76AFB" w:rsidRPr="00F846D0">
        <w:rPr>
          <w:rFonts w:ascii="Times New Roman" w:hAnsi="Times New Roman"/>
          <w:sz w:val="28"/>
          <w:szCs w:val="28"/>
        </w:rPr>
        <w:br/>
      </w:r>
      <w:r w:rsidR="00F76AFB" w:rsidRPr="00F846D0">
        <w:rPr>
          <w:rFonts w:ascii="Times New Roman" w:hAnsi="Times New Roman"/>
          <w:sz w:val="28"/>
          <w:szCs w:val="28"/>
        </w:rPr>
        <w:br/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br/>
      </w:r>
    </w:p>
    <w:p w:rsidR="00515B54" w:rsidRPr="00F846D0" w:rsidRDefault="00515B54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515B54" w:rsidRPr="00F846D0" w:rsidRDefault="00515B54" w:rsidP="00F846D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Поэтому была проведена очистка данных от пустых значений и выделены ключевые показатели, такие как минимальная и максимальная площадь квартиры и кухни, а также цена объекта. При этом в выборку вошли объекты как первичного, так и вторичного рынка.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3776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5272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B54" w:rsidRPr="00F846D0" w:rsidRDefault="00F846D0" w:rsidP="00F846D0">
      <w:pPr>
        <w:pStyle w:val="a9"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F846D0">
        <w:rPr>
          <w:noProof/>
          <w:lang w:eastAsia="ru-RU"/>
        </w:rPr>
        <w:drawing>
          <wp:anchor distT="0" distB="0" distL="0" distR="0" simplePos="0" relativeHeight="251649024" behindDoc="0" locked="0" layoutInCell="0" allowOverlap="1" wp14:anchorId="3815E654" wp14:editId="3B31E362">
            <wp:simplePos x="0" y="0"/>
            <wp:positionH relativeFrom="column">
              <wp:posOffset>3090545</wp:posOffset>
            </wp:positionH>
            <wp:positionV relativeFrom="paragraph">
              <wp:posOffset>1118870</wp:posOffset>
            </wp:positionV>
            <wp:extent cx="2850515" cy="213169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AFB" w:rsidRPr="00F846D0">
        <w:rPr>
          <w:color w:val="000000"/>
          <w:sz w:val="28"/>
          <w:szCs w:val="28"/>
          <w:shd w:val="clear" w:color="auto" w:fill="FFFFFF"/>
        </w:rPr>
        <w:t>Пос</w:t>
      </w:r>
      <w:r w:rsidR="00F76AFB" w:rsidRPr="00F846D0">
        <w:rPr>
          <w:color w:val="000000"/>
          <w:sz w:val="28"/>
          <w:szCs w:val="28"/>
          <w:shd w:val="clear" w:color="auto" w:fill="FFFFFF"/>
        </w:rPr>
        <w:t xml:space="preserve">ле удаление всех не нужных данных вывожу процентное содержание пропусков, их стало меньше. Подчищаю остатки — удаляем </w:t>
      </w:r>
      <w:r w:rsidR="00F76AFB" w:rsidRPr="00F846D0">
        <w:rPr>
          <w:color w:val="000000"/>
          <w:sz w:val="28"/>
          <w:szCs w:val="28"/>
          <w:shd w:val="clear" w:color="auto" w:fill="FFFFFF"/>
        </w:rPr>
        <w:t xml:space="preserve">строки, где все указанные колонки содержат </w:t>
      </w:r>
      <w:proofErr w:type="spellStart"/>
      <w:r w:rsidR="00F76AFB" w:rsidRPr="00F846D0">
        <w:rPr>
          <w:color w:val="000000"/>
          <w:sz w:val="28"/>
          <w:szCs w:val="28"/>
          <w:shd w:val="clear" w:color="auto" w:fill="FFFFFF"/>
        </w:rPr>
        <w:t>NaN</w:t>
      </w:r>
      <w:proofErr w:type="spellEnd"/>
      <w:r w:rsidR="00F76AFB" w:rsidRPr="00F846D0">
        <w:rPr>
          <w:color w:val="000000"/>
          <w:sz w:val="28"/>
          <w:szCs w:val="28"/>
          <w:shd w:val="clear" w:color="auto" w:fill="FFFFFF"/>
        </w:rPr>
        <w:t>.</w:t>
      </w:r>
    </w:p>
    <w:p w:rsidR="00515B54" w:rsidRPr="00F846D0" w:rsidRDefault="00F846D0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F846D0">
        <w:rPr>
          <w:noProof/>
          <w:lang w:eastAsia="ru-RU"/>
        </w:rPr>
        <w:drawing>
          <wp:anchor distT="0" distB="0" distL="0" distR="0" simplePos="0" relativeHeight="251643904" behindDoc="0" locked="0" layoutInCell="0" allowOverlap="1" wp14:anchorId="03ECE94B" wp14:editId="32BE88AF">
            <wp:simplePos x="0" y="0"/>
            <wp:positionH relativeFrom="column">
              <wp:posOffset>-5715</wp:posOffset>
            </wp:positionH>
            <wp:positionV relativeFrom="paragraph">
              <wp:posOffset>14605</wp:posOffset>
            </wp:positionV>
            <wp:extent cx="2934970" cy="213804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B54" w:rsidRPr="00F846D0" w:rsidRDefault="00F76AFB" w:rsidP="00F846D0">
      <w:pPr>
        <w:pStyle w:val="a9"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F846D0">
        <w:rPr>
          <w:color w:val="000000"/>
          <w:sz w:val="28"/>
          <w:szCs w:val="28"/>
          <w:shd w:val="clear" w:color="auto" w:fill="FFFFFF"/>
        </w:rPr>
        <w:t>Теперь можно идти визу</w:t>
      </w:r>
      <w:r w:rsidRPr="00F846D0">
        <w:rPr>
          <w:color w:val="000000"/>
          <w:sz w:val="28"/>
          <w:szCs w:val="28"/>
          <w:shd w:val="clear" w:color="auto" w:fill="FFFFFF"/>
        </w:rPr>
        <w:t>ализировать.</w:t>
      </w:r>
    </w:p>
    <w:p w:rsidR="00515B54" w:rsidRPr="00F846D0" w:rsidRDefault="00F76AFB" w:rsidP="00F846D0">
      <w:pPr>
        <w:pStyle w:val="a9"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F846D0">
        <w:rPr>
          <w:color w:val="000000"/>
          <w:sz w:val="28"/>
          <w:szCs w:val="28"/>
          <w:shd w:val="clear" w:color="auto" w:fill="FFFFFF"/>
        </w:rPr>
        <w:t xml:space="preserve">Общий метраж объекта недвижимости играет ключевую </w:t>
      </w:r>
      <w:r w:rsidRPr="00F846D0">
        <w:rPr>
          <w:color w:val="000000"/>
          <w:sz w:val="28"/>
          <w:szCs w:val="28"/>
          <w:shd w:val="clear" w:color="auto" w:fill="FFFFFF"/>
        </w:rPr>
        <w:t>роль в формировании его цены. В большинстве случаев, чем больше площадь, тем выше стоимость, так как покупатели и арендаторы часто оценивают пространство в соответствии с его размерами.</w:t>
      </w:r>
      <w:r w:rsidRPr="00F846D0">
        <w:rPr>
          <w:color w:val="000000"/>
          <w:sz w:val="28"/>
          <w:szCs w:val="28"/>
          <w:shd w:val="clear" w:color="auto" w:fill="FFFFFF"/>
        </w:rPr>
        <w:br/>
      </w:r>
    </w:p>
    <w:p w:rsidR="00515B54" w:rsidRPr="00F846D0" w:rsidRDefault="00F846D0" w:rsidP="00F846D0">
      <w:pPr>
        <w:pStyle w:val="a9"/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 w:rsidRPr="00F846D0">
        <w:rPr>
          <w:noProof/>
          <w:lang w:eastAsia="ru-RU"/>
        </w:rPr>
        <w:lastRenderedPageBreak/>
        <w:drawing>
          <wp:anchor distT="0" distB="0" distL="0" distR="0" simplePos="0" relativeHeight="251678720" behindDoc="0" locked="0" layoutInCell="0" allowOverlap="1" wp14:anchorId="0E7B2CEF" wp14:editId="26779788">
            <wp:simplePos x="0" y="0"/>
            <wp:positionH relativeFrom="column">
              <wp:posOffset>-106045</wp:posOffset>
            </wp:positionH>
            <wp:positionV relativeFrom="paragraph">
              <wp:posOffset>-339090</wp:posOffset>
            </wp:positionV>
            <wp:extent cx="5829300" cy="3080385"/>
            <wp:effectExtent l="0" t="0" r="0" b="0"/>
            <wp:wrapSquare wrapText="largest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AFB" w:rsidRPr="00F846D0">
        <w:rPr>
          <w:color w:val="000000"/>
          <w:sz w:val="28"/>
          <w:szCs w:val="28"/>
          <w:shd w:val="clear" w:color="auto" w:fill="FFFFFF"/>
        </w:rPr>
        <w:t>Количество комнат в квартире непосредственно влияет на ее цену. Чем б</w:t>
      </w:r>
      <w:r w:rsidR="00F76AFB" w:rsidRPr="00F846D0">
        <w:rPr>
          <w:color w:val="000000"/>
          <w:sz w:val="28"/>
          <w:szCs w:val="28"/>
          <w:shd w:val="clear" w:color="auto" w:fill="FFFFFF"/>
        </w:rPr>
        <w:t xml:space="preserve">ольше комнат, тем выше стоимость жилья. </w:t>
      </w:r>
    </w:p>
    <w:p w:rsidR="00515B54" w:rsidRPr="00F846D0" w:rsidRDefault="00F76AFB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 w:rsidRPr="00F846D0"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anchor distT="0" distB="0" distL="0" distR="0" simplePos="0" relativeHeight="251680768" behindDoc="0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124460</wp:posOffset>
            </wp:positionV>
            <wp:extent cx="3750310" cy="2435860"/>
            <wp:effectExtent l="0" t="0" r="0" b="0"/>
            <wp:wrapSquare wrapText="largest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5B54" w:rsidRPr="00F846D0" w:rsidRDefault="00515B54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:rsidR="00515B54" w:rsidRPr="00F846D0" w:rsidRDefault="00515B54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:rsidR="00515B54" w:rsidRPr="00F846D0" w:rsidRDefault="00515B54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:rsidR="00515B54" w:rsidRPr="00F846D0" w:rsidRDefault="00515B54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</w:p>
    <w:p w:rsidR="00515B54" w:rsidRPr="00F846D0" w:rsidRDefault="00515B54" w:rsidP="00F846D0">
      <w:pPr>
        <w:pStyle w:val="a9"/>
        <w:spacing w:before="100" w:beforeAutospacing="1" w:after="100" w:afterAutospacing="1" w:line="360" w:lineRule="auto"/>
        <w:rPr>
          <w:color w:val="000000"/>
          <w:sz w:val="28"/>
          <w:szCs w:val="28"/>
          <w:shd w:val="clear" w:color="auto" w:fill="FFFFFF"/>
        </w:rPr>
      </w:pPr>
    </w:p>
    <w:p w:rsidR="00E35342" w:rsidRDefault="00F76AFB" w:rsidP="00F846D0">
      <w:pPr>
        <w:pStyle w:val="a9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F846D0"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822960</wp:posOffset>
            </wp:positionV>
            <wp:extent cx="6146165" cy="3395345"/>
            <wp:effectExtent l="0" t="0" r="0" b="0"/>
            <wp:wrapSquare wrapText="bothSides"/>
            <wp:docPr id="8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6D0">
        <w:rPr>
          <w:color w:val="000000"/>
          <w:sz w:val="28"/>
          <w:szCs w:val="28"/>
        </w:rPr>
        <w:t>В Москве и Голицыно цены на жилье значительно выше, чем в большинстве городов Московской облас</w:t>
      </w:r>
      <w:r w:rsidRPr="00F846D0">
        <w:rPr>
          <w:color w:val="000000"/>
          <w:sz w:val="28"/>
          <w:szCs w:val="28"/>
        </w:rPr>
        <w:t>ти.</w:t>
      </w:r>
    </w:p>
    <w:p w:rsidR="00E35342" w:rsidRDefault="00E35342" w:rsidP="00E35342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Анализируя данные в </w:t>
      </w:r>
      <w:r>
        <w:rPr>
          <w:color w:val="000000"/>
          <w:sz w:val="28"/>
          <w:szCs w:val="28"/>
          <w:lang w:val="en-US"/>
        </w:rPr>
        <w:t>power</w:t>
      </w:r>
      <w:r w:rsidRPr="00E35342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  <w:lang w:val="en-US"/>
        </w:rPr>
        <w:t>bi</w:t>
      </w:r>
      <w:proofErr w:type="gramEnd"/>
      <w:r>
        <w:rPr>
          <w:color w:val="000000"/>
          <w:sz w:val="28"/>
          <w:szCs w:val="28"/>
        </w:rPr>
        <w:t xml:space="preserve"> я получил следующие графики.</w:t>
      </w:r>
    </w:p>
    <w:p w:rsidR="00E35342" w:rsidRDefault="00E35342" w:rsidP="00F846D0">
      <w:pPr>
        <w:pStyle w:val="a9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E35342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C4E11CD" wp14:editId="5A0DCFDF">
            <wp:extent cx="5940425" cy="3348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4-10-31 0001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42" w:rsidRDefault="00E35342" w:rsidP="00E35342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первом графике видно, что от города зависит средняя цена. Чем город популярен и развит, тем и стоимость выше. На втором графике видно, что улица особо не влияет на среднюю цену.</w:t>
      </w:r>
    </w:p>
    <w:p w:rsidR="00E35342" w:rsidRDefault="00E35342" w:rsidP="00F846D0">
      <w:pPr>
        <w:pStyle w:val="a9"/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  <w14:ligatures w14:val="standardContextual"/>
        </w:rPr>
        <w:lastRenderedPageBreak/>
        <w:drawing>
          <wp:inline distT="0" distB="0" distL="0" distR="0">
            <wp:extent cx="5940425" cy="33540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4-10-31 0001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42" w:rsidRPr="00E35342" w:rsidRDefault="00E35342" w:rsidP="00E35342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метража квартиры зависит цена, но также от расположения метро.</w:t>
      </w:r>
    </w:p>
    <w:p w:rsidR="00515B54" w:rsidRPr="00F846D0" w:rsidRDefault="00F76AFB" w:rsidP="00E35342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b/>
          <w:sz w:val="28"/>
          <w:szCs w:val="28"/>
        </w:rPr>
        <w:t>Анализ данных</w:t>
      </w:r>
    </w:p>
    <w:p w:rsidR="00515B54" w:rsidRPr="00F846D0" w:rsidRDefault="00925551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76AFB" w:rsidRPr="00F846D0">
        <w:rPr>
          <w:rFonts w:ascii="Times New Roman" w:hAnsi="Times New Roman"/>
          <w:sz w:val="28"/>
          <w:szCs w:val="28"/>
        </w:rPr>
        <w:t>ожно выделить важные кри</w:t>
      </w:r>
      <w:r w:rsidR="00F76AFB" w:rsidRPr="00F846D0">
        <w:rPr>
          <w:rFonts w:ascii="Times New Roman" w:hAnsi="Times New Roman"/>
          <w:sz w:val="28"/>
          <w:szCs w:val="28"/>
        </w:rPr>
        <w:t xml:space="preserve">терии по цене квадратного метра </w:t>
      </w:r>
      <w:r w:rsidR="00F76AFB" w:rsidRPr="00F846D0">
        <w:rPr>
          <w:rFonts w:ascii="Times New Roman" w:hAnsi="Times New Roman"/>
          <w:sz w:val="28"/>
          <w:szCs w:val="28"/>
        </w:rPr>
        <w:t>квартиры.</w:t>
      </w:r>
      <w:r w:rsidR="00E35342" w:rsidRPr="00E35342">
        <w:rPr>
          <w:sz w:val="28"/>
          <w:szCs w:val="28"/>
        </w:rPr>
        <w:t xml:space="preserve"> </w:t>
      </w:r>
    </w:p>
    <w:p w:rsidR="00515B54" w:rsidRPr="00F846D0" w:rsidRDefault="00F76AFB" w:rsidP="00F846D0">
      <w:pPr>
        <w:spacing w:before="100" w:beforeAutospacing="1" w:after="100" w:afterAutospacing="1" w:line="360" w:lineRule="auto"/>
        <w:ind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Критерии:</w:t>
      </w:r>
    </w:p>
    <w:p w:rsidR="00515B54" w:rsidRPr="00F846D0" w:rsidRDefault="00F76AFB" w:rsidP="00F846D0">
      <w:pPr>
        <w:pStyle w:val="aa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Метро</w:t>
      </w:r>
    </w:p>
    <w:p w:rsidR="00515B54" w:rsidRPr="00F846D0" w:rsidRDefault="00F76AFB" w:rsidP="00F846D0">
      <w:pPr>
        <w:pStyle w:val="aa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Метраж</w:t>
      </w:r>
    </w:p>
    <w:p w:rsidR="00515B54" w:rsidRPr="00F846D0" w:rsidRDefault="00F76AFB" w:rsidP="00F846D0">
      <w:pPr>
        <w:pStyle w:val="aa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sz w:val="28"/>
          <w:szCs w:val="28"/>
        </w:rPr>
        <w:t>Нахождение в крупных городах</w:t>
      </w:r>
    </w:p>
    <w:p w:rsidR="00515B54" w:rsidRPr="00F846D0" w:rsidRDefault="00F76AFB" w:rsidP="00E35342">
      <w:pPr>
        <w:pStyle w:val="aa"/>
        <w:spacing w:before="100" w:beforeAutospacing="1" w:after="100" w:afterAutospacing="1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846D0">
        <w:rPr>
          <w:rFonts w:ascii="Times New Roman" w:hAnsi="Times New Roman"/>
          <w:color w:val="000000"/>
          <w:sz w:val="28"/>
          <w:szCs w:val="28"/>
        </w:rPr>
        <w:t xml:space="preserve">Цены на жилье в центре Москвы самые высокие, поскольку здесь соблюдены все ключевые критерии. В районе расположены станции метро и имеют большое влияние на метраж квартиры. Средняя цена </w:t>
      </w:r>
      <w:r w:rsidRPr="00F846D0">
        <w:rPr>
          <w:rFonts w:ascii="Times New Roman" w:hAnsi="Times New Roman"/>
          <w:color w:val="000000"/>
          <w:sz w:val="28"/>
          <w:szCs w:val="28"/>
        </w:rPr>
        <w:t>остается стабильной в зависимости от количества комнат.</w:t>
      </w:r>
      <w:r w:rsidRPr="00F846D0">
        <w:rPr>
          <w:rFonts w:ascii="Times New Roman" w:hAnsi="Times New Roman"/>
        </w:rPr>
        <w:br w:type="page"/>
      </w:r>
    </w:p>
    <w:p w:rsidR="00515B54" w:rsidRPr="00E35342" w:rsidRDefault="00E35342" w:rsidP="00E35342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846D0">
        <w:rPr>
          <w:rFonts w:ascii="Times New Roman" w:hAnsi="Times New Roman"/>
          <w:noProof/>
          <w:lang w:eastAsia="ru-RU"/>
        </w:rPr>
        <w:lastRenderedPageBreak/>
        <w:drawing>
          <wp:anchor distT="0" distB="0" distL="0" distR="0" simplePos="0" relativeHeight="251674624" behindDoc="0" locked="0" layoutInCell="0" allowOverlap="1" wp14:anchorId="4F9BC67C" wp14:editId="261A722B">
            <wp:simplePos x="0" y="0"/>
            <wp:positionH relativeFrom="column">
              <wp:posOffset>-213995</wp:posOffset>
            </wp:positionH>
            <wp:positionV relativeFrom="paragraph">
              <wp:posOffset>-529590</wp:posOffset>
            </wp:positionV>
            <wp:extent cx="5826125" cy="5229225"/>
            <wp:effectExtent l="0" t="0" r="0" b="0"/>
            <wp:wrapSquare wrapText="largest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1113" r="2523" b="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br w:type="page"/>
      </w:r>
      <w:r w:rsidR="00F76AFB" w:rsidRPr="00E35342">
        <w:rPr>
          <w:rFonts w:ascii="Times New Roman" w:hAnsi="Times New Roman"/>
          <w:b/>
          <w:caps/>
          <w:sz w:val="28"/>
          <w:szCs w:val="28"/>
        </w:rPr>
        <w:lastRenderedPageBreak/>
        <w:t>Заключение</w:t>
      </w:r>
    </w:p>
    <w:p w:rsidR="00F76AFB" w:rsidRDefault="00FF3D24" w:rsidP="00F76AFB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 результате анализа были </w:t>
      </w:r>
      <w:r w:rsidR="00F76AFB" w:rsidRPr="00F846D0">
        <w:rPr>
          <w:color w:val="000000"/>
          <w:sz w:val="28"/>
          <w:szCs w:val="28"/>
        </w:rPr>
        <w:t>собраны данные, построена модель и визуализация</w:t>
      </w:r>
      <w:r w:rsidR="00F76AFB" w:rsidRPr="00F846D0">
        <w:rPr>
          <w:color w:val="000000"/>
          <w:sz w:val="28"/>
          <w:szCs w:val="28"/>
        </w:rPr>
        <w:t>, в анализе которой выявлены важные критерии в оценивании цены квадратного метра недвижимости в Московском регионе. Основными факторами, оказывающими влияние на стоимость жилья, оказались расположение около метро, нахождение в крупных городах, наличие отла</w:t>
      </w:r>
      <w:r w:rsidR="00F76AFB" w:rsidRPr="00F846D0">
        <w:rPr>
          <w:color w:val="000000"/>
          <w:sz w:val="28"/>
          <w:szCs w:val="28"/>
        </w:rPr>
        <w:t>дки в квартире. Полученные результаты могут быть использованы для дальнейшего прогнозирования цен на недвижимость.</w:t>
      </w:r>
      <w:bookmarkStart w:id="1" w:name="_GoBack"/>
      <w:bookmarkEnd w:id="1"/>
    </w:p>
    <w:p w:rsidR="00E35342" w:rsidRDefault="00E35342" w:rsidP="00F846D0">
      <w:pPr>
        <w:pStyle w:val="a9"/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</w:p>
    <w:p w:rsidR="00E35342" w:rsidRPr="00F846D0" w:rsidRDefault="00E35342" w:rsidP="00F846D0">
      <w:pPr>
        <w:pStyle w:val="a9"/>
        <w:spacing w:before="100" w:beforeAutospacing="1" w:after="100" w:afterAutospacing="1" w:line="360" w:lineRule="auto"/>
        <w:ind w:firstLine="709"/>
        <w:rPr>
          <w:sz w:val="28"/>
          <w:szCs w:val="28"/>
        </w:rPr>
      </w:pPr>
    </w:p>
    <w:sectPr w:rsidR="00E35342" w:rsidRPr="00F846D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6F3"/>
    <w:multiLevelType w:val="multilevel"/>
    <w:tmpl w:val="E452B3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05F10EB"/>
    <w:multiLevelType w:val="multilevel"/>
    <w:tmpl w:val="8AFC7F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54"/>
    <w:rsid w:val="00515B54"/>
    <w:rsid w:val="00925551"/>
    <w:rsid w:val="00E35342"/>
    <w:rsid w:val="00F76AFB"/>
    <w:rsid w:val="00F846D0"/>
    <w:rsid w:val="00F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DCCC"/>
  <w15:docId w15:val="{8310046B-F1F7-4588-8AB5-6B6F3192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FDD"/>
    <w:pPr>
      <w:spacing w:after="160" w:line="252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Noto Sans CJK SC" w:hAnsi="PT Astra Serif" w:cs="Free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PT Astra Serif" w:hAnsi="PT Astra Serif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FreeSans"/>
    </w:rPr>
  </w:style>
  <w:style w:type="paragraph" w:styleId="a9">
    <w:name w:val="Normal (Web)"/>
    <w:basedOn w:val="a"/>
    <w:uiPriority w:val="99"/>
    <w:semiHidden/>
    <w:unhideWhenUsed/>
    <w:qFormat/>
    <w:rsid w:val="006F187B"/>
    <w:rPr>
      <w:rFonts w:ascii="Times New Roman" w:hAnsi="Times New Roman"/>
      <w:sz w:val="24"/>
      <w:szCs w:val="24"/>
    </w:rPr>
  </w:style>
  <w:style w:type="paragraph" w:styleId="aa">
    <w:name w:val="List Paragraph"/>
    <w:basedOn w:val="a"/>
    <w:uiPriority w:val="34"/>
    <w:qFormat/>
    <w:rsid w:val="00F4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Семрягина</dc:creator>
  <dc:description/>
  <cp:lastModifiedBy>sunbeam</cp:lastModifiedBy>
  <cp:revision>9</cp:revision>
  <dcterms:created xsi:type="dcterms:W3CDTF">2024-10-28T18:01:00Z</dcterms:created>
  <dcterms:modified xsi:type="dcterms:W3CDTF">2024-10-30T21:15:00Z</dcterms:modified>
  <dc:language>ru-RU</dc:language>
</cp:coreProperties>
</file>