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TRACE – Related Work and Research Progress</w:t>
      </w:r>
    </w:p>
    <w:p>
      <w:pPr>
        <w:jc w:val="center"/>
      </w:pPr>
      <w:r>
        <w:rPr>
          <w:i/>
        </w:rPr>
        <w:t>UROP Research</w:t>
      </w:r>
    </w:p>
    <w:p>
      <w:r>
        <w:rPr>
          <w:b/>
          <w:sz w:val="26"/>
        </w:rPr>
        <w:t>1. Research on Malware Forensics and Evidence Preservation</w:t>
      </w:r>
    </w:p>
    <w:p>
      <w:pPr>
        <w:spacing w:after="100"/>
      </w:pPr>
      <w:r>
        <w:t>As part of our research on TRACE, we studied how digital forensic evidence can be collected from a malware-infected environment before the environment is removed. Our main focus was to understand what information can be lost when a sandbox is immediately terminated after analysis.</w:t>
      </w:r>
    </w:p>
    <w:p>
      <w:pPr>
        <w:spacing w:after="100"/>
      </w:pPr>
      <w:r>
        <w:t>We studied research on malware analysis platforms and Virtual Machine Introspection (VMI). These works showed us that important evidence can come from memory, filesystem activity, registry changes, network traffic and other system-level events. We found VMI particularly useful because monitoring can be performed from outside the guest operating system.</w:t>
      </w:r>
    </w:p>
    <w:p>
      <w:pPr>
        <w:spacing w:after="100"/>
      </w:pPr>
      <w:r>
        <w:t>From this research, we identified the evidence that we want TRACE to preserve after an O-NYX analysis: a complete memory dump, network PCAP, filesystem differences and the analysis report. This became the starting point for our evidence-preservation stage.</w:t>
      </w:r>
    </w:p>
    <w:p>
      <w:r>
        <w:rPr>
          <w:b/>
          <w:sz w:val="26"/>
        </w:rPr>
        <w:t>2. Research on Digital Evidence Integrity and Chain of Custody</w:t>
      </w:r>
    </w:p>
    <w:p>
      <w:pPr>
        <w:spacing w:after="100"/>
      </w:pPr>
      <w:r>
        <w:t>We then studied how digital forensic evidence is protected after it has been collected. We focused on hashing, evidence verification and chain-of-custody practices because collecting evidence is not enough if we cannot later show that the evidence has not been modified.</w:t>
      </w:r>
    </w:p>
    <w:p>
      <w:pPr>
        <w:spacing w:after="100"/>
      </w:pPr>
      <w:r>
        <w:t>We found that cryptographic hashes are commonly used to verify the integrity of acquired evidence. Based on this, we decided that TRACE should combine the collected artefacts into an evidence bundle, generate a SHA-256 hash and maintain a tamper-evident audit history.</w:t>
      </w:r>
    </w:p>
    <w:p>
      <w:pPr>
        <w:spacing w:after="100"/>
      </w:pPr>
      <w:r>
        <w:t>This research helped us define the evidence-sealing part of our workflow. Our aim is that, before we destroy the sandbox, we should first have a verifiable record of exactly what was collected from it.</w:t>
      </w:r>
    </w:p>
    <w:p>
      <w:r>
        <w:rPr>
          <w:b/>
          <w:sz w:val="26"/>
        </w:rPr>
        <w:t>3. Research on Cryptographic Erasure and Secure Sandbox Disposal</w:t>
      </w:r>
    </w:p>
    <w:p>
      <w:pPr>
        <w:spacing w:after="100"/>
      </w:pPr>
      <w:r>
        <w:t>Another major part of our research was secure deletion. We studied work on cryptographic erasure, assured deletion and proof of deletion. We found that ordinary file deletion does not necessarily provide strong assurance that sensitive information is no longer recoverable.</w:t>
      </w:r>
    </w:p>
    <w:p>
      <w:pPr>
        <w:spacing w:after="100"/>
      </w:pPr>
      <w:r>
        <w:t>One of the important works we studied was “How to Delete a Secret,” which introduced the idea of cryptographically verifiable deletion. We also looked at research on cloud data deletion and cryptographic key destruction.</w:t>
      </w:r>
    </w:p>
    <w:p>
      <w:pPr>
        <w:spacing w:after="100"/>
      </w:pPr>
      <w:r>
        <w:t>This research helped us develop our approach to sandbox disposal. Instead of depending only on normal deletion, we are exploring controlled VM termination, memory clearing, destruction of the encryption key used for sandbox data, and teardown of the associated network environment.</w:t>
      </w:r>
    </w:p>
    <w:p>
      <w:r>
        <w:rPr>
          <w:b/>
          <w:sz w:val="26"/>
        </w:rPr>
        <w:t>4. Research on Verifiable Deletion and Disposal Auditing</w:t>
      </w:r>
    </w:p>
    <w:p>
      <w:pPr>
        <w:spacing w:after="100"/>
      </w:pPr>
      <w:r>
        <w:t>After studying secure deletion, we looked at how deletion itself can be verified. We found that a system should not simply report that an environment was deleted; it should provide evidence that the required disposal operations actually occurred.</w:t>
      </w:r>
    </w:p>
    <w:p>
      <w:pPr>
        <w:spacing w:after="100"/>
      </w:pPr>
      <w:r>
        <w:t>We therefore added a separate verification step to our TRACE workflow. Our current approach is to check the relevant disposal events, including the termination of the VM, the destruction of the encryption key and the deletion of the associated network environment.</w:t>
      </w:r>
    </w:p>
    <w:p>
      <w:pPr>
        <w:spacing w:after="100"/>
      </w:pPr>
      <w:r>
        <w:t>We are also studying how the result of these checks can be recorded as a disposal certificate in the audit history. This gives us a way to distinguish between a sandbox that was requested to be deleted and a sandbox for which disposal was actually verified.</w:t>
      </w:r>
    </w:p>
    <w:p>
      <w:r>
        <w:rPr>
          <w:b/>
          <w:sz w:val="26"/>
        </w:rPr>
        <w:t>5. Research on IOC Extraction from Malware Analysis</w:t>
      </w:r>
    </w:p>
    <w:p>
      <w:pPr>
        <w:spacing w:after="100"/>
      </w:pPr>
      <w:r>
        <w:t>Once the evidence-preservation and disposal parts were defined, we studied what useful threat information could be extracted from the analysis results. We focused on Indicators of Compromise (IOCs), since these are the main outputs that can be passed to other security systems.</w:t>
      </w:r>
    </w:p>
    <w:p>
      <w:pPr>
        <w:spacing w:after="100"/>
      </w:pPr>
      <w:r>
        <w:t>We reviewed research on automated IOC extraction from malware reports and analysis data. The indicators we are considering include file hashes, malicious domains and IP addresses, registry keys, scheduled tasks, persistence mechanisms and behavioural signatures.</w:t>
      </w:r>
    </w:p>
    <w:p>
      <w:pPr>
        <w:spacing w:after="100"/>
      </w:pPr>
      <w:r>
        <w:t>This research helped us define the IOC extraction stage of TRACE. Our goal is to use the evidence already collected during analysis instead of treating IOC extraction as a completely separate process.</w:t>
      </w:r>
    </w:p>
    <w:p>
      <w:r>
        <w:rPr>
          <w:b/>
          <w:sz w:val="26"/>
        </w:rPr>
        <w:t>6. Research on IOC Confidence, Novelty and Zero-Day Candidates</w:t>
      </w:r>
    </w:p>
    <w:p>
      <w:pPr>
        <w:spacing w:after="100"/>
      </w:pPr>
      <w:r>
        <w:t>We also studied research on the reliability and quality of extracted indicators. We found that automatically extracted indicators can have different levels of confidence, relevance and usefulness, so simply extracting an indicator does not mean that it should immediately be shared with everyone.</w:t>
      </w:r>
    </w:p>
    <w:p>
      <w:pPr>
        <w:spacing w:after="100"/>
      </w:pPr>
      <w:r>
        <w:t>This led us to consider a sensitivity-based classification step in TRACE. Standard and sufficiently validated IOCs can follow the normal sharing path, while unusual findings that may represent previously unknown behaviour should be treated as zero-day candidates and reviewed by an analyst.</w:t>
      </w:r>
    </w:p>
    <w:p>
      <w:pPr>
        <w:spacing w:after="100"/>
      </w:pPr>
      <w:r>
        <w:t>Through this research, we also became more careful about the terminology we use. We do not want our system to automatically label an unfamiliar behaviour as a confirmed zero-day. Instead, our current direction is to identify candidates for further validation and responsible disclosure.</w:t>
      </w:r>
    </w:p>
    <w:p>
      <w:r>
        <w:rPr>
          <w:b/>
          <w:sz w:val="26"/>
        </w:rPr>
        <w:t>7. Research on STIX, TAXII and MISP Threat Intelligence Sharing</w:t>
      </w:r>
    </w:p>
    <w:p>
      <w:pPr>
        <w:spacing w:after="100"/>
      </w:pPr>
      <w:r>
        <w:t>For the final part of TRACE, we studied how malware-analysis results can be converted into threat intelligence and shared with other security systems. We focused on STIX, TAXII and MISP because they provide established ways of representing, exchanging and managing cyber threat intelligence.</w:t>
      </w:r>
    </w:p>
    <w:p>
      <w:pPr>
        <w:spacing w:after="100"/>
      </w:pPr>
      <w:r>
        <w:t>We studied the STIX 2.1 specification to understand how indicators, malware and malware-analysis information can be represented in a structured format. We also studied TAXII 2.1 for exchanging threat intelligence and MISP for collecting, correlating and sharing threat information.</w:t>
      </w:r>
    </w:p>
    <w:p>
      <w:pPr>
        <w:spacing w:after="100"/>
      </w:pPr>
      <w:r>
        <w:t>This research helped us plan the final stage of TRACE. Our current approach is to convert suitable IOCs into a STIX 2.1 bundle and make them available through TAXII or MISP-based sharing. This allows the results of one analysis to become useful outside the original sandbox.</w:t>
      </w:r>
    </w:p>
    <w:p>
      <w:r>
        <w:rPr>
          <w:b/>
          <w:sz w:val="26"/>
        </w:rPr>
        <w:t>8. Research on Cyber Threat Intelligence Sharing</w:t>
      </w:r>
    </w:p>
    <w:p>
      <w:pPr>
        <w:spacing w:after="100"/>
      </w:pPr>
      <w:r>
        <w:t>We also studied research that looks at the actual usefulness and limitations of large-scale cyber threat intelligence sharing. One important paper we reviewed, “Sharing Cyber Threat Intelligence: Does It Really Help?”, examined large collections of STIX threat-intelligence objects and showed that shared intelligence can contain both useful information and inaccurate or outdated data.</w:t>
      </w:r>
    </w:p>
    <w:p>
      <w:pPr>
        <w:spacing w:after="100"/>
      </w:pPr>
      <w:r>
        <w:t>This was important for our design because we do not want TRACE to simply forward every extracted IOC. Our research supports the idea of validating and classifying information before distribution, especially when the information may represent a new or sensitive threat.</w:t>
      </w:r>
    </w:p>
    <w:p>
      <w:pPr>
        <w:spacing w:after="100"/>
      </w:pPr>
      <w:r>
        <w:t>From this work, we understood that the speed of sharing is important, but so is the quality of what is shared. This is why our current design includes separate handling for normal IOCs and potential novel findings.</w:t>
      </w:r>
    </w:p>
    <w:p>
      <w:r>
        <w:rPr>
          <w:b/>
          <w:sz w:val="26"/>
        </w:rPr>
        <w:t>Overall Research Progress</w:t>
      </w:r>
    </w:p>
    <w:p>
      <w:pPr>
        <w:spacing w:after="100"/>
      </w:pPr>
      <w:r>
        <w:t>Through this literature and patent study, we focused on three main questions:</w:t>
      </w:r>
    </w:p>
    <w:p>
      <w:pPr>
        <w:spacing w:after="100"/>
      </w:pPr>
      <w:r>
        <w:rPr>
          <w:b/>
        </w:rPr>
        <w:t>1. How can we preserve important evidence before a malware analysis environment is destroyed?</w:t>
      </w:r>
    </w:p>
    <w:p>
      <w:pPr>
        <w:spacing w:after="100"/>
      </w:pPr>
      <w:r>
        <w:t>We found that important forensic information such as memory contents, network traffic and filesystem changes can be lost when an infected environment is immediately terminated. Our research on malware forensics and evidence preservation helped us identify the types of evidence that should be collected and sealed before disposal.</w:t>
      </w:r>
    </w:p>
    <w:p>
      <w:pPr>
        <w:spacing w:after="100"/>
      </w:pPr>
      <w:r>
        <w:rPr>
          <w:b/>
        </w:rPr>
        <w:t>2. How can we securely dispose of a compromised sandbox while providing evidence that the disposal was completed?</w:t>
      </w:r>
    </w:p>
    <w:p>
      <w:pPr>
        <w:spacing w:after="100"/>
      </w:pPr>
      <w:r>
        <w:t>Our research on cryptographic erasure and verifiable deletion showed us that secure deletion can be strengthened through cryptographic key destruction and that deletion should be accompanied by verifiable evidence. This helped us develop our approach of combining sandbox termination, cryptographic erasure and disposal verification.</w:t>
      </w:r>
    </w:p>
    <w:p>
      <w:pPr>
        <w:spacing w:after="100"/>
      </w:pPr>
      <w:r>
        <w:rPr>
          <w:b/>
        </w:rPr>
        <w:t>3. How can the information collected from malware analysis be converted into useful threat intelligence and safely shared?</w:t>
      </w:r>
    </w:p>
    <w:p>
      <w:pPr>
        <w:spacing w:after="100"/>
      </w:pPr>
      <w:r>
        <w:t>Our research on IOC extraction, indicator reliability and CTI sharing showed us that extracted indicators need to be classified and validated before distribution. Our study of STIX, TAXII and MISP helped us understand how the resulting intelligence can be represented and shared using existing standards.</w:t>
      </w:r>
    </w:p>
    <w:p>
      <w:pPr>
        <w:spacing w:after="100"/>
      </w:pPr>
      <w:r>
        <w:t>Based on our current research, we identified a gap in combining forensic evidence preservation, verifiable sandbox disposal and threat-intelligence sharing into one post-exploitation workflow. Our work on TRACE is focused on connecting these stages so that evidence is preserved first, the analysis environment is securely disposed of and verified, and the resulting IOCs can be classified and distributed appropriately.</w:t>
      </w:r>
    </w:p>
    <w:p>
      <w:pPr>
        <w:spacing w:after="100"/>
      </w:pPr>
      <w:r>
        <w:t>Our next step is to use the findings from this research to refine the TRACE workflow and compare our approach with existing malware forensics, secure deletion, sandbox disposal and threat-intelligence systems.</w:t>
      </w:r>
    </w:p>
    <w:p>
      <w:r>
        <w:rPr>
          <w:b/>
          <w:sz w:val="26"/>
        </w:rPr>
        <w:t>Important Research Limitations</w:t>
      </w:r>
    </w:p>
    <w:p>
      <w:pPr>
        <w:spacing w:after="100"/>
      </w:pPr>
      <w:r>
        <w:t>During our research, we also identified limitations that we need to keep in mind. Cryptographic key destruction can make encrypted data computationally inaccessible, but it should not be presented as proof that every possible copy of the data has disappeared from a cloud provider's infrastructure. Our disposal claims will therefore be limited to resources that our system can actually control and verify.</w:t>
      </w:r>
    </w:p>
    <w:p>
      <w:pPr>
        <w:spacing w:after="100"/>
      </w:pPr>
      <w:r>
        <w:t>Similarly, we will not treat every unusual malware behaviour as a confirmed zero-day. Our current approach is to identify zero-day candidates and route them for further analyst validation and responsible disclosure.</w:t>
      </w:r>
    </w:p>
    <w:p>
      <w:r>
        <w:rPr>
          <w:b/>
          <w:sz w:val="26"/>
        </w:rPr>
        <w:t>Sources / References</w:t>
      </w:r>
    </w:p>
    <w:p>
      <w:pPr>
        <w:spacing w:after="40"/>
      </w:pPr>
      <w:r>
        <w:rPr>
          <w:b/>
        </w:rPr>
        <w:t xml:space="preserve">Memory forensics using virtual machine introspection for Malware analysis — </w:t>
      </w:r>
      <w:r>
        <w:t>https://ieeexplore.ieee.org/document/8003129</w:t>
      </w:r>
    </w:p>
    <w:p>
      <w:pPr>
        <w:spacing w:after="40"/>
      </w:pPr>
      <w:r>
        <w:rPr>
          <w:b/>
        </w:rPr>
        <w:t xml:space="preserve">Virtual machine introspection: towards bridging the semantic gap — </w:t>
      </w:r>
      <w:r>
        <w:t>https://journalofcloudcomputing.springeropen.com/articles/10.1186/s13677-016-0067-0</w:t>
      </w:r>
    </w:p>
    <w:p>
      <w:pPr>
        <w:spacing w:after="40"/>
      </w:pPr>
      <w:r>
        <w:rPr>
          <w:b/>
        </w:rPr>
        <w:t xml:space="preserve">Sisyfos: A Modular and Extendable Open Malware Analysis Platform — </w:t>
      </w:r>
      <w:r>
        <w:t>https://www.usenix.org/conference/usenixsecurity21/presentation/schneider</w:t>
      </w:r>
    </w:p>
    <w:p>
      <w:pPr>
        <w:spacing w:after="40"/>
      </w:pPr>
      <w:r>
        <w:rPr>
          <w:b/>
        </w:rPr>
        <w:t xml:space="preserve">How to Delete a Secret — </w:t>
      </w:r>
      <w:r>
        <w:t>https://eprint.iacr.org/2012/449</w:t>
      </w:r>
    </w:p>
    <w:p>
      <w:pPr>
        <w:spacing w:after="40"/>
      </w:pPr>
      <w:r>
        <w:rPr>
          <w:b/>
        </w:rPr>
        <w:t xml:space="preserve">Provable data transfer from provable data possession and deletion in cloud storage — </w:t>
      </w:r>
      <w:r>
        <w:t>https://doi.org/10.1016/j.cose.2020.101917</w:t>
      </w:r>
    </w:p>
    <w:p>
      <w:pPr>
        <w:spacing w:after="40"/>
      </w:pPr>
      <w:r>
        <w:rPr>
          <w:b/>
        </w:rPr>
        <w:t xml:space="preserve">Uncovering Reliable Indicators: Improving IoC Extraction from Threat Reports — </w:t>
      </w:r>
      <w:r>
        <w:t>https://arxiv.org/abs/2506.11325</w:t>
      </w:r>
    </w:p>
    <w:p>
      <w:pPr>
        <w:spacing w:after="40"/>
      </w:pPr>
      <w:r>
        <w:rPr>
          <w:b/>
        </w:rPr>
        <w:t xml:space="preserve">Improving quality of indicators of compromise using STIX graphs — </w:t>
      </w:r>
      <w:r>
        <w:t>https://doi.org/10.1016/j.cose.2024.103972</w:t>
      </w:r>
    </w:p>
    <w:p>
      <w:pPr>
        <w:spacing w:after="40"/>
      </w:pPr>
      <w:r>
        <w:rPr>
          <w:b/>
        </w:rPr>
        <w:t xml:space="preserve">Sharing Cyber Threat Intelligence: Does It Really Help? — </w:t>
      </w:r>
      <w:r>
        <w:t>https://www.ndss-symposium.org/ndss-paper/sharing-cyber-threat-intelligence-does-it-really-help/</w:t>
      </w:r>
    </w:p>
    <w:p>
      <w:pPr>
        <w:spacing w:after="40"/>
      </w:pPr>
      <w:r>
        <w:rPr>
          <w:b/>
        </w:rPr>
        <w:t xml:space="preserve">OASIS STIX 2.1 — </w:t>
      </w:r>
      <w:r>
        <w:t>https://docs.oasis-open.org/cti/stix/v2.1/stix-v2.1.html</w:t>
      </w:r>
    </w:p>
    <w:p>
      <w:pPr>
        <w:spacing w:after="40"/>
      </w:pPr>
      <w:r>
        <w:rPr>
          <w:b/>
        </w:rPr>
        <w:t xml:space="preserve">OASIS TAXII 2.1 — </w:t>
      </w:r>
      <w:r>
        <w:t>https://docs.oasis-open.org/cti/taxii/v2.1/taxii-v2.1.html</w:t>
      </w:r>
    </w:p>
    <w:p>
      <w:pPr>
        <w:spacing w:after="40"/>
      </w:pPr>
      <w:r>
        <w:rPr>
          <w:b/>
        </w:rPr>
        <w:t xml:space="preserve">MISP Threat Intelligence Platform — </w:t>
      </w:r>
      <w:r>
        <w:t>https://www.misp-project.org/</w:t>
      </w:r>
    </w:p>
    <w:p>
      <w:pPr>
        <w:spacing w:after="40"/>
      </w:pPr>
      <w:r>
        <w:rPr>
          <w:b/>
        </w:rPr>
        <w:t xml:space="preserve">SWGDE Best Practices for Digital Evidence Collection — </w:t>
      </w:r>
      <w:r>
        <w:t>https://www.swgde.org/</w:t>
      </w:r>
    </w:p>
    <w:p>
      <w:pPr>
        <w:spacing w:after="40"/>
      </w:pPr>
      <w:r>
        <w:rPr>
          <w:b/>
        </w:rPr>
        <w:t xml:space="preserve">NIST Digital Evidence Preservation — </w:t>
      </w:r>
      <w:r>
        <w:t>https://csrc.nist.gov/pubs/other/2022/08/31/digital-evidence-preservation/final</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