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/>
      </w:pPr>
      <w:r w:rsidDel="00000000" w:rsidR="00000000" w:rsidRPr="00000000">
        <w:rPr>
          <w:b w:val="1"/>
          <w:bCs w:val="1"/>
          <w:color w:val="2e75b6"/>
          <w:sz w:val="20"/>
          <w:szCs w:val="20"/>
          <w:rtl w:val="0"/>
        </w:rPr>
        <w:t xml:space="preserve">DFIR PROJECT FRAMEWORK — ADDENDUM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rPr/>
      </w:pPr>
      <w:r w:rsidDel="00000000" w:rsidR="00000000" w:rsidRPr="00000000">
        <w:rPr>
          <w:b w:val="1"/>
          <w:bCs w:val="1"/>
          <w:color w:val="1f4e5f"/>
          <w:sz w:val="40"/>
          <w:szCs w:val="40"/>
          <w:rtl w:val="0"/>
        </w:rPr>
        <w:t xml:space="preserve">Module 1 &amp; 2 Enhancement Parameters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b w:val="1"/>
          <w:bCs w:val="1"/>
          <w:color w:val="2e75b6"/>
          <w:sz w:val="26"/>
          <w:szCs w:val="26"/>
          <w:rtl w:val="0"/>
        </w:rPr>
        <w:t xml:space="preserve">Additional Detection Parameters for the Email &amp; Attachment Scanners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The original Module 1 (Email Analysis Engine) and Module 2 (Attachment Malware Analysis Engine) cover the core detection basics. This addendum lists additional parameters that close common gaps exploited by real-world phishing and malware campaigns, plus cross-cutting improvements that apply across both modules.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Bdr>
          <w:bottom w:color="1f4e5f" w:space="4" w:sz="6" w:val="single"/>
        </w:pBdr>
        <w:spacing w:after="160" w:before="360" w:lineRule="auto"/>
        <w:rPr/>
      </w:pPr>
      <w:r w:rsidDel="00000000" w:rsidR="00000000" w:rsidRPr="00000000">
        <w:rPr>
          <w:b w:val="1"/>
          <w:bCs w:val="1"/>
          <w:color w:val="1f4e5f"/>
          <w:sz w:val="30"/>
          <w:szCs w:val="30"/>
          <w:rtl w:val="0"/>
        </w:rPr>
        <w:t xml:space="preserve">1. Module 1 — Email Analysis Engine: Additional Parameters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after="120" w:before="280" w:lineRule="auto"/>
        <w:rPr/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1.1 Sender / Identity Layer</w:t>
      </w:r>
      <w:r w:rsidDel="00000000" w:rsidR="00000000" w:rsidRPr="00000000">
        <w:rPr>
          <w:rtl w:val="0"/>
        </w:rPr>
      </w:r>
    </w:p>
    <w:tbl>
      <w:tblPr>
        <w:tblStyle w:val="Table1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300"/>
        <w:tblGridChange w:id="0">
          <w:tblGrid>
            <w:gridCol w:w="3200"/>
            <w:gridCol w:w="6300"/>
          </w:tblGrid>
        </w:tblGridChange>
      </w:tblGrid>
      <w:tr>
        <w:trPr>
          <w:cantSplit w:val="0"/>
          <w:tblHeader w:val="1"/>
        </w:trPr>
        <w:tc>
          <w:tcPr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Display-name spoofing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Visible name matches a trusted contact or executive, but the actual address does not — a hallmark of BEC attacks, distinct from domain spoofing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Reply-To mismatch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The Reply-To header silently points somewhere different from the From address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Homograph / punycode domains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Unicode lookalike characters (e.g., Cyrillic vs Latin letters) that plain string-distance typosquat checks will miss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Domain age / WHOIS lookup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Newly registered domains (under 30–90 days old) are disproportionately used in phishing campaigns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Sender behaviour 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Compares against that sender's historical send patterns (time of day, volume, typical recipients) to catch account takeover, not just spoofing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pStyle w:val="Heading2"/>
        <w:spacing w:after="120" w:before="280" w:lineRule="auto"/>
        <w:rPr/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1.2 Link / Content Layer</w:t>
      </w:r>
      <w:r w:rsidDel="00000000" w:rsidR="00000000" w:rsidRPr="00000000">
        <w:rPr>
          <w:rtl w:val="0"/>
        </w:rPr>
      </w:r>
    </w:p>
    <w:tbl>
      <w:tblPr>
        <w:tblStyle w:val="Table2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300"/>
        <w:tblGridChange w:id="0">
          <w:tblGrid>
            <w:gridCol w:w="3200"/>
            <w:gridCol w:w="6300"/>
          </w:tblGrid>
        </w:tblGridChange>
      </w:tblGrid>
      <w:tr>
        <w:trPr>
          <w:cantSplit w:val="0"/>
          <w:tblHeader w:val="1"/>
        </w:trPr>
        <w:tc>
          <w:tcPr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URL redirect-chain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Follows shorteners and redirects to the final landing page instead of only inspecting the visible 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SSL certificate inspection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Flags self-signed certificates, CN mismatches, or certificates issued very recently on linked domains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QR-code phishing ("quishing")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Extracts and decodes QR codes embedded as images in the email body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Hidden / obfuscated 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Detects invisible text, hidden iframes, and CSS tricks used to defeat text-based scanners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RTLO (right-to-left override) tricks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Unicode characters used to disguise a file's real extension in the filename itself, not just the attachment content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Style w:val="Heading2"/>
        <w:spacing w:after="120" w:before="280" w:lineRule="auto"/>
        <w:rPr/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1.3 Operational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Allow-list / trusted-sender bypass, so verified internal or partner domains skip heavy scanning — reduces noise and processing load.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Analyst feedback loop — a "mark as false positive / false negative" action that feeds back into trust-score weighting over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pBdr>
          <w:bottom w:color="1f4e5f" w:space="4" w:sz="6" w:val="single"/>
        </w:pBdr>
        <w:spacing w:after="160" w:before="360" w:lineRule="auto"/>
        <w:rPr/>
      </w:pPr>
      <w:r w:rsidDel="00000000" w:rsidR="00000000" w:rsidRPr="00000000">
        <w:rPr>
          <w:b w:val="1"/>
          <w:bCs w:val="1"/>
          <w:color w:val="1f4e5f"/>
          <w:sz w:val="30"/>
          <w:szCs w:val="30"/>
          <w:rtl w:val="0"/>
        </w:rPr>
        <w:t xml:space="preserve">2. Module 2 — Attachment Malware Analysis Engine: Additional Parameters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after="120" w:before="280" w:lineRule="auto"/>
        <w:rPr/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2.1 Static Analysis Depth (YARA alone will miss a lot)</w:t>
      </w:r>
      <w:r w:rsidDel="00000000" w:rsidR="00000000" w:rsidRPr="00000000">
        <w:rPr>
          <w:rtl w:val="0"/>
        </w:rPr>
      </w:r>
    </w:p>
    <w:tbl>
      <w:tblPr>
        <w:tblStyle w:val="Table3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300"/>
        <w:tblGridChange w:id="0">
          <w:tblGrid>
            <w:gridCol w:w="3200"/>
            <w:gridCol w:w="6300"/>
          </w:tblGrid>
        </w:tblGridChange>
      </w:tblGrid>
      <w:tr>
        <w:trPr>
          <w:cantSplit w:val="0"/>
          <w:tblHeader w:val="1"/>
        </w:trPr>
        <w:tc>
          <w:tcPr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Entropy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High-entropy sections indicate packing or encryption — a strong obfuscation signal even before classification runs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PE header inspection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Imports, sections, compile-timestamp anomalies, and import-hash (imphash) support clustering against known malware families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Digital signature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Unsigned, self-signed, or revoked/stolen certificates on an executable are a red flag on their 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Macro / VBA extraction (Office files)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Flags AutoOpen, Shell, WScript.Shell, and obfuscated strings — still one of the most common phishing-to-malware bridges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Embedded object / DDE / OLE checks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Covers embedded JavaScript, OpenAction, and Launch actions in PDFs, and embedded objects in Office documents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pStyle w:val="Heading2"/>
        <w:spacing w:after="120" w:before="280" w:lineRule="auto"/>
        <w:rPr/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2.2 Delivery-Trick Detection</w:t>
      </w:r>
      <w:r w:rsidDel="00000000" w:rsidR="00000000" w:rsidRPr="00000000">
        <w:rPr>
          <w:rtl w:val="0"/>
        </w:rPr>
      </w:r>
    </w:p>
    <w:tbl>
      <w:tblPr>
        <w:tblStyle w:val="Table4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300"/>
        <w:tblGridChange w:id="0">
          <w:tblGrid>
            <w:gridCol w:w="3200"/>
            <w:gridCol w:w="6300"/>
          </w:tblGrid>
        </w:tblGridChange>
      </w:tblGrid>
      <w:tr>
        <w:trPr>
          <w:cantSplit w:val="0"/>
          <w:tblHeader w:val="1"/>
        </w:trPr>
        <w:tc>
          <w:tcPr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Password-protected archives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 common technique to dodge automated scanning — especially suspicious when the password is supplied in the email body itself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Nested / archive-bomb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Zip-in-zip structures or oversized decompression ratios used to evade or overload scanners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ISO / IMG / disk-image 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Increasingly used to smuggle payloads past Mark-of-the-Web protections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LNK (shortcut) file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 very common current delivery mechanism for loader malware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Script deobfuscation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PowerShell / VBS / JS with base64 or -EncodedCommand payloads need a decode step before YARA can inspect the real content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pStyle w:val="Heading2"/>
        <w:spacing w:after="120" w:before="280" w:lineRule="auto"/>
        <w:rPr/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2.3 Correlation-Friendly Outputs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Fuzzy hashing (ssdeep / TLSH) in addition to exact-hash matching — catches minor variants of known malware that a single-hash lookup misses.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Behavioural IOCs from the sandbox (once built) — C2 domains/IPs, dropped files, persistence mechanisms — fed back into the correlation engine so future emails referencing the same infrastructure score higher immediately.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pBdr>
          <w:bottom w:color="1f4e5f" w:space="4" w:sz="6" w:val="single"/>
        </w:pBdr>
        <w:spacing w:after="160" w:before="360" w:lineRule="auto"/>
        <w:rPr/>
      </w:pPr>
      <w:r w:rsidDel="00000000" w:rsidR="00000000" w:rsidRPr="00000000">
        <w:rPr>
          <w:b w:val="1"/>
          <w:bCs w:val="1"/>
          <w:color w:val="1f4e5f"/>
          <w:sz w:val="30"/>
          <w:szCs w:val="30"/>
          <w:rtl w:val="0"/>
        </w:rPr>
        <w:t xml:space="preserve">3. Cross-Cutting Improvements (Both Modules)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spacing w:after="80" w:before="20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2e75b6"/>
          <w:sz w:val="22"/>
          <w:szCs w:val="22"/>
          <w:rtl w:val="0"/>
        </w:rPr>
        <w:t xml:space="preserve">Context correlation between the two modules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An "invoice" or "resume" themed email carrying an .exe or script attachment is a mismatch worth scoring on its own, independent of either module's individual score.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spacing w:after="80" w:before="20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2e75b6"/>
          <w:sz w:val="22"/>
          <w:szCs w:val="22"/>
          <w:rtl w:val="0"/>
        </w:rPr>
        <w:t xml:space="preserve">Explainability (XAI)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For every flag raised, store why it fired (which rule, which indicator) so the risk report is not a black box — this matters for analyst trust and for genuine DFIR chain-of-custody 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spacing w:after="80" w:before="20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2e75b6"/>
          <w:sz w:val="22"/>
          <w:szCs w:val="22"/>
          <w:rtl w:val="0"/>
        </w:rPr>
        <w:t xml:space="preserve">Threat-intel feed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Connect both modules to an external feed (e.g., MISP, OTX, or a commercial feed) so detection is not limited to the organisation's own historical case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spacing w:after="80" w:before="20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2e75b6"/>
          <w:sz w:val="22"/>
          <w:szCs w:val="22"/>
          <w:rtl w:val="0"/>
        </w:rPr>
        <w:t xml:space="preserve">Tunable thresholds per organisation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Sensitivity and false-positive tolerance should be configurable — a hospital and a bank, for example, will want very different tradeoffs.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60"/>
      </w:pPr>
      <w:rPr/>
    </w:lvl>
    <w:lvl w:ilvl="1">
      <w:start w:val="1"/>
      <w:numFmt w:val="bullet"/>
      <w:lvlText w:val="–"/>
      <w:lvlJc w:val="left"/>
      <w:pPr>
        <w:ind w:left="720" w:hanging="2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