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2e75b6"/>
          <w:sz w:val="20"/>
          <w:szCs w:val="20"/>
          <w:rtl w:val="0"/>
        </w:rPr>
        <w:t xml:space="preserve">DFIR PROJECT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f4e5f"/>
          <w:sz w:val="40"/>
          <w:szCs w:val="40"/>
          <w:rtl w:val="0"/>
        </w:rPr>
        <w:t xml:space="preserve">Unified Phishing Email &amp; Malware Attachment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color w:val="1f4e5f"/>
          <w:sz w:val="40"/>
          <w:szCs w:val="40"/>
          <w:rtl w:val="0"/>
        </w:rPr>
        <w:t xml:space="preserve">Detection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single integrated architecture combining the Email Scanner, Attachment Malware Scanner, and Risk Assessment / Reporting engine described in the original problem statement into one connected DFIR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f4e5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1. Why Combine the Three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 the original document, the Email Scanner, Attachment Malware Scanner, and Risk Assessment &amp; Report Generator were listed as separate blocks. In practice they are not independent — they consume and produce the same objects (an email + its attachment) and their outputs (trust score, threat classification score) only become useful once merged into one decision. Combining them gives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pipeline instead of three disconnected tools, so one email triggers one end-to-end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shared evidence store, so the final report can cite header anomalies, metadata flags, and malware classification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unified risk score instead of two separate scores that an analyst would otherwise have to reconcile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 logging for DFIR chain-of-custody — every artifact touched (email, headers, attachment, hashes) is tracked under one case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1f4e5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2.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system is organized into five layers. Layers 1 and 2 run in parallel on the same incoming email; Layer 3 fuses their outputs; Layers 4 and 5 act on the fused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+-------------------------------------------------------+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|                  INGESTION LAYER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|   Mail server / gateway hook, API, or mailbox feed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+---------------------------+-----------------------------+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+------------------------+------------------------+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v                       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+-----------------------+                     +--------------------------+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|  MODULE 1              |                     |  MODULE 2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|  Email Analysis Engine |                     |  Attachment Malware Engine|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+-----------------------+                     +--------------------------+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|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+------------------------+------------------------+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+----------------------------------------+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|  MODULE 3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|  Correlation &amp; Unified Scoring Engine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+----------------------+-------------------+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+----------------------------------------+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|  MODULE 4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|  Risk Assessment &amp; Report Generator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+----------------------+-------------------+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               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+----------------------------------------+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|  MODULE 5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|  Action Layer (quarantine / alert / SOC)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+----------------------------------------+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1f4e5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3. Module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3.1 Module 1 — Email Analysis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Consumes the raw email (headers + body + envelope) and produces a Trust Score plus a list of flagged indicators.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Sender authenticity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SPF / DKIM / DMARC check, fake or spoofed sender detection, comparison against known-good organisation 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Header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Parses Received chain, Message-ID, Return-Path; flags header inconsistencies or spoofed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Sender IP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Resolves sender IP, flags public vs private ranges, checks against IP/domain reputation 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Metadata forensics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Uses ExifTool on any embedded images/files for GPS data, timestamps, author fields, hash values, and cross-checks for inconsistencies (e.g., claimed vs actual send time/location)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Spelling/grammar anomaly detection, typosquatted or lookalike links (Levenshtein-distance domain comparison), urgency/social-engineering language detection, requests for personal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Organisation impersonation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Flags mail claiming to be from a known org but sent from an unrelated or newly-registered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Trust Score (0–100) + structured list of triggered indicators, passed to Module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3.2 Module 2 — Attachment Malware Analysis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Runs only when an attachment (or embedded link to a download) is present. Produces a Threat Classification Score plus a malware family label.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File type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Flags high-risk extensions (.exe, .scr, .js, macro-enabled Office files) and detects extension spoofing (magic-byte vs extension mismatch)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Fileless / in-memory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Monitors for payloads that attempt to execute directly in RAM without writing to disk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YARA-based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Runs a YARA rule set against the sample and buckets the result into: Trojan, Worm, Ransomware, RAT, APT-associated, Botnet, Adware, generic Malware, or Fileless Malware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Reputation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Hashes the file (MD5/SHA-256) and checks it against threat-intel feeds / previously seen samples in the organisation's own case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Sandbox hook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Placeholder for isolated dynamic detonation before the file ever reaches a live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Threat Classification Score (0–100) + malware family label + IOC list, passed to Module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3.3 Module 3 — Correlation &amp; Unified Scoring Engine (new — the glue between the two scanners)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is the piece that actually performs the 'combination.' It takes the Trust Score from Module 1 and the Threat Classification Score from Module 2 and produces one Composite Risk Score, because a message with a slightly suspicious header but a confirmed ransomware attachment should never be scored lower than a message that is only mildly spoofed with no attachment at all.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600"/>
        <w:gridCol w:w="3300"/>
        <w:tblGridChange w:id="0">
          <w:tblGrid>
            <w:gridCol w:w="3600"/>
            <w:gridCol w:w="26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 (suggested)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Sender/header trust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Content / social-engineering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Metadata inconsistency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Attachment presence &amp; type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YARA classification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Reputation / known-bad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weights are configurable per organisation. A known-bad hash match or a Ransomware/RAT classification should be able to force the Composite Score into the highest severity band regardless of the email-side score (an override rule), since a confirmed malicious payload outweighs a merely suspicious-looking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3.4 Module 4 — Risk Assessment &amp; Report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Consumes the Composite Risk Score and the full evidence bundle from Modules 1–3 to generate one detailed report per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verdict: Safe / Suspicious / Malicious, with the numeric Composite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summary: which specific header, metadata, content, and malware indicators fired.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Malware profile: family classification, hash, and any matched historical sample.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remediation: steps tailored to the detected malware type (e.g., network isolation guidance for ransomware, credential-reset guidance for phishing that requested personal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 and timestamped audit trail for DFIR chain-of-custody.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3.5 Module 5 — Action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Not in the original document, but a natural close to the loop: based on the verdict from Module 4, trigger automated or analyst-reviewed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severity: auto-quarantine the email, block sender domain/IP, alert SOC.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severity: hold for analyst review, tag with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severity: deliver normally, log for trend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Bdr>
          <w:bottom w:color="1f4e5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4. End-to-End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arrives at the ingestion hook (mail gateway plugin, IMAP/API poll, or SIEM forward).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is duplicated into two parallel analysis paths: Module 1 (email) and Module 2 (attachment, if present).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1 returns a Trust Score + indicator list; Module 2 returns a Threat Classification Score + malware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3 fuses both scores (weighted model + override rules) into a single Composite Risk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4 generates the risk assessment report and remediation guidance from the fused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5 executes or recommends the appropriate action (quarantine, alert, deliver).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artifacts (headers, hashes, metadata, YARA matches, report) are stored under one case ID for audit/chain-of-custody.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1f4e5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5. Suggested Technology Stack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900"/>
        <w:tblGridChange w:id="0">
          <w:tblGrid>
            <w:gridCol w:w="2600"/>
            <w:gridCol w:w="69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Suggested 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Mail server plugin (Postfix/Exchange milter), or IMAP/Graph API polling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 (email, mailparser), SPF/DKIM/DMARC libraries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Metadata forensics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ExifTool (as already specified), hash libraries (hashlib)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Link/typosquat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Levenshtein/fuzzy-matching libraries, domain-age WHOIS lookups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Attachment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YARA engine, file-type/magic-byte detection (libmagic)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Reputation/threat intel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VirusTotal API or similar, internal hash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Sandbox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Cuckoo Sandbox or a container/VM-based isolated detonation chamber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Scoring &amp;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Rules engine or lightweight ML classifier combining both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Templated report generator (PDF/HTML), case database (SQLite/Postgres)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SOC/SIEM webhook integration, mail-gateway API for quarantine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pBdr>
          <w:bottom w:color="1f4e5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6.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 detonation for attachments before they ever reach a live mailbox (already noted as a future idea in the original document).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Machine-learning-based phishing text classifier to complement rule-based social-engineering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Threat-intel feed integration for real-time IOC enrichment (IP, domain, hash reputation).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loop: analyst verdicts on flagged emails retrain the scoring weights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for the SOC team showing trend analysis across the organisation (most-targeted users, most-common malware families, campaign clustering).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–"/>
      <w:lvlJc w:val="left"/>
      <w:pPr>
        <w:ind w:left="7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