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detected in all cases.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sees hundreds of complaints a day.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(21 words on average in our Play Store data)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89.6–98.4 on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 &gt; 2 per tag</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773157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7731579"/>
                    </a:xfrm>
                    <a:prstGeom prst="rect"/>
                  </pic:spPr>
                </pic:pic>
              </a:graphicData>
            </a:graphic>
          </wp:inline>
        </w:drawing>
      </w:r>
    </w:p>
    <w:p>
      <w:pPr>
        <w:spacing w:after="160" w:before="0"/>
        <w:jc w:val="center"/>
      </w:pPr>
      <w:r>
        <w:rPr>
          <w:i/>
          <w:sz w:val="22"/>
        </w:rPr>
        <w:t>Fig. 1: Flowchart of the InsightDesk pipeline (t_low = 0.40 for app reviews and chat, 0.26 for tickets and bug reports)</w:t>
      </w:r>
    </w:p>
    <w:p>
      <w:pPr>
        <w:sectPr>
          <w:type w:val="continuous"/>
          <w:pgSz w:w="12240" w:h="15840"/>
          <w:pgMar w:top="1080" w:right="1008" w:bottom="1440" w:left="1008" w:header="720" w:footer="720" w:gutter="0"/>
          <w:cols w:space="360" w:num="1"/>
          <w:docGrid w:linePitch="360"/>
        </w:sectPr>
      </w:pP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6400800" cy="260032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400800" cy="2600325"/>
                    </a:xfrm>
                    <a:prstGeom prst="rect"/>
                  </pic:spPr>
                </pic:pic>
              </a:graphicData>
            </a:graphic>
          </wp:inline>
        </w:drawing>
      </w:r>
    </w:p>
    <w:p>
      <w:pPr>
        <w:spacing w:after="160" w:before="0"/>
        <w:jc w:val="center"/>
      </w:pPr>
      <w:r>
        <w:rPr>
          <w:i/>
          <w:sz w:val="22"/>
        </w:rPr>
        <w:t>Fig. 2: System architecture: nine phases over two stores</w:t>
      </w:r>
    </w:p>
    <w:p>
      <w:pPr>
        <w:sectPr>
          <w:type w:val="continuous"/>
          <w:pgSz w:w="12240" w:h="15840"/>
          <w:pgMar w:top="1080" w:right="1008" w:bottom="1440" w:left="1008" w:header="720" w:footer="720" w:gutter="0"/>
          <w:cols w:space="360" w:num="1"/>
          <w:docGrid w:linePitch="360"/>
        </w:sectPr>
      </w:pP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Boilerplate is dropped while at least one segment is always kept; the text is lower-cased and stripped of punctuation and stop words. Negations (not, never, can’t) are kept, because “works” and “doesn’t work” must not look alike. The original text is kept for display and for the LLM judge. For the running example, only the complaint itself remains.</w:t>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only cases of the same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which a single centroid cannot. Each exemplar is stored in Pinecone with its case, product, vague flag and the text of the complaint that founded the case; one query returns the 60 nearest vectors, which are ranked per case by their best exemplar. For the running example, the closest case is “OTP not received on login” with S* = 0.71.</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set once on a labelled tuning half, using only pairs within the same product.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the Play Store tuning data this gives t_low = 0.26 and t_high = 0.8306.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w:t>
      </w:r>
      <w:r>
        <w:rPr>
          <w:rFonts w:ascii="Times New Roman" w:hAnsi="Times New Roman"/>
          <w:b w:val="0"/>
          <w:i w:val="0"/>
          <w:sz w:val="24"/>
        </w:rPr>
        <w:t>, computed once from the case’s founding complaint (its representative text), so later reports do not change it</w:t>
      </w:r>
      <w:r>
        <w:rPr>
          <w:rFonts w:ascii="Times New Roman" w:hAnsi="Times New Roman"/>
          <w:b w:val="0"/>
          <w:i w:val="0"/>
          <w:sz w:val="24"/>
        </w:rPr>
        <w:t>.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w:t>
      </w:r>
      <w:r>
        <w:rPr>
          <w:rFonts w:ascii="Times New Roman" w:hAnsi="Times New Roman"/>
          <w:b w:val="0"/>
          <w:i w:val="0"/>
          <w:sz w:val="24"/>
        </w:rPr>
        <w:t>; the 20% and 15% triggers are operating defaults chosen empirically, not tuned. Departments come from a fixed rule table, not an LLM: five departments (Engineering, Authentication, Payments, Customer Success, Platform) each have a list of trigger words (for Authentication: login, password, otp, signin, verification, token), a topic goes to the department whose list matches most of its five top keywords, a topic with no match goes to General Support, and an operator can override the department in the dashboard. On the 306 cases of the test deployment BERTopic found 44 topics and left 41 cases (13%) as outliers. Their c_v coherence is 0.49, against 0.38 for random five-word sets from the same texts, so the topics are moderately coherent; the largest are login and sign-in (19 cases), notifications (18), reinstalling or the app not working (16), support plans (15) and crashes after a new version (10). The rule table routed only 19 of the 44 topics to a named department and sent 25 to General Support, so routing is the weakest step; a learned or LLM-based mapping is left to future work</w:t>
      </w:r>
      <w:r>
        <w:rPr>
          <w:rFonts w:ascii="Times New Roman" w:hAnsi="Times New Roman"/>
          <w:b w:val="0"/>
          <w:i w:val="0"/>
          <w:sz w:val="24"/>
        </w:rPr>
        <w:t>.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r>
        <w:rPr>
          <w:rFonts w:ascii="Times New Roman" w:hAnsi="Times New Roman"/>
          <w:b w:val="0"/>
          <w:i w:val="0"/>
          <w:sz w:val="24"/>
        </w:rPr>
        <w:t xml:space="preserve"> The threshold was fixed before testing: among p ∈ {0.01, 0.001} and a minimum count m ∈ {2, 3, 4}, p &lt; 0.001 with m = 2 was the loosest setting that kept false alerts at or below 2 per 100 windows on both tuning sets (p = 0.01 gave 3.35 on bug reports). Confirmed unchanged on 588 reviews of unseen apps, the alarm detected every 10-complaint vague outage at a cost of 0.19 extra false alerts per 100 windows.</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windows, alert history and root-cause reports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membership does not depend on input order, so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 [TODO: cite a published estimate of Bugzilla duplicate-link completeness, or keep this sentence as is.]</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agreement is Fleiss’ κ = 0.74 (95% CI 0.63–0.84), conventionally read as substantial;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reviews is planned. [TODO: add its result.]</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(purity of each case).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Full codebook</w:t>
            </w:r>
          </w:p>
        </w:tc>
        <w:tc>
          <w:tcPr>
            <w:tcW w:type="dxa" w:w="2556"/>
          </w:tcPr>
          <w:p>
            <w:r>
              <w:rPr>
                <w:rFonts w:ascii="Times New Roman" w:hAnsi="Times New Roman"/>
                <w:b w:val="0"/>
                <w:sz w:val="18"/>
              </w:rPr>
              <w:t>Offline, needs codebook</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given our own codebook label with precision 0.68–0.71, below InsightDesk without a codebook. A single LLM call that groups a whole batch reaches a higher offline F1, but it is not stable: shuffling the input order leaves only 54% of its grouped pairs intact, which rules it out for counting and alerting. CLAP’s published setting reaches a similar precision (0.84) but finds only 2% of duplicate pairs.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890157"/>
            <wp:docPr id="14" name="Picture 14"/>
            <wp:cNvGraphicFramePr>
              <a:graphicFrameLocks noChangeAspect="1"/>
            </wp:cNvGraphicFramePr>
            <a:graphic>
              <a:graphicData uri="http://schemas.openxmlformats.org/drawingml/2006/picture">
                <pic:pic>
                  <pic:nvPicPr>
                    <pic:cNvPr id="0" name="fig3c.png"/>
                    <pic:cNvPicPr/>
                  </pic:nvPicPr>
                  <pic:blipFill>
                    <a:blip r:embed="rId22"/>
                    <a:stretch>
                      <a:fillRect/>
                    </a:stretch>
                  </pic:blipFill>
                  <pic:spPr>
                    <a:xfrm>
                      <a:off x="0" y="0"/>
                      <a:ext cx="5486400" cy="2890157"/>
                    </a:xfrm>
                    <a:prstGeom prst="rect"/>
                  </pic:spPr>
                </pic:pic>
              </a:graphicData>
            </a:graphic>
          </wp:inline>
        </w:drawing>
      </w:r>
    </w:p>
    <w:p>
      <w:pPr>
        <w:spacing w:after="160" w:before="0"/>
        <w:jc w:val="center"/>
      </w:pPr>
      <w:r>
        <w:rPr>
          <w:i/>
          <w:sz w:val="22"/>
        </w:rPr>
        <w:t>Fig. 3: Pairwise F1 against published methods on identical data (Play Store held-out halves; Firefox sample 3)</w:t>
      </w:r>
    </w:p>
    <w:p>
      <w:pPr>
        <w:sectPr>
          <w:type w:val="continuous"/>
          <w:pgSz w:w="12240" w:h="15840"/>
          <w:pgMar w:top="1080" w:right="1008" w:bottom="1440" w:left="1008" w:header="720" w:footer="720" w:gutter="0"/>
          <w:cols w:space="360" w:num="1"/>
          <w:docGrid w:linePitch="360"/>
        </w:sectPr>
      </w:pP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824843"/>
            <wp:docPr id="15" name="Picture 15"/>
            <wp:cNvGraphicFramePr>
              <a:graphicFrameLocks noChangeAspect="1"/>
            </wp:cNvGraphicFramePr>
            <a:graphic>
              <a:graphicData uri="http://schemas.openxmlformats.org/drawingml/2006/picture">
                <pic:pic>
                  <pic:nvPicPr>
                    <pic:cNvPr id="0" name="fig4c.png"/>
                    <pic:cNvPicPr/>
                  </pic:nvPicPr>
                  <pic:blipFill>
                    <a:blip r:embed="rId23"/>
                    <a:stretch>
                      <a:fillRect/>
                    </a:stretch>
                  </pic:blipFill>
                  <pic:spPr>
                    <a:xfrm>
                      <a:off x="0" y="0"/>
                      <a:ext cx="5486400" cy="2824843"/>
                    </a:xfrm>
                    <a:prstGeom prst="rect"/>
                  </pic:spPr>
                </pic:pic>
              </a:graphicData>
            </a:graphic>
          </wp:inline>
        </w:drawing>
      </w:r>
    </w:p>
    <w:p>
      <w:pPr>
        <w:spacing w:after="160" w:before="0"/>
        <w:jc w:val="center"/>
      </w:pPr>
      <w:r>
        <w:rPr>
          <w:i/>
          <w:sz w:val="22"/>
        </w:rPr>
        <w:t>Fig. 4: Pairwise precision and recall of every method, Play Store held-out halves</w:t>
      </w:r>
    </w:p>
    <w:p>
      <w:pPr>
        <w:sectPr>
          <w:type w:val="continuous"/>
          <w:pgSz w:w="12240" w:h="15840"/>
          <w:pgMar w:top="1080" w:right="1008" w:bottom="1440" w:left="1008" w:header="720" w:footer="720" w:gutter="0"/>
          <w:cols w:space="360" w:num="1"/>
          <w:docGrid w:linePitch="360"/>
        </w:sectPr>
      </w:pP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367643"/>
            <wp:docPr id="16" name="Picture 16"/>
            <wp:cNvGraphicFramePr>
              <a:graphicFrameLocks noChangeAspect="1"/>
            </wp:cNvGraphicFramePr>
            <a:graphic>
              <a:graphicData uri="http://schemas.openxmlformats.org/drawingml/2006/picture">
                <pic:pic>
                  <pic:nvPicPr>
                    <pic:cNvPr id="0" name="fig5c.png"/>
                    <pic:cNvPicPr/>
                  </pic:nvPicPr>
                  <pic:blipFill>
                    <a:blip r:embed="rId24"/>
                    <a:stretch>
                      <a:fillRect/>
                    </a:stretch>
                  </pic:blipFill>
                  <pic:spPr>
                    <a:xfrm>
                      <a:off x="0" y="0"/>
                      <a:ext cx="5486400" cy="2367643"/>
                    </a:xfrm>
                    <a:prstGeom prst="rect"/>
                  </pic:spPr>
                </pic:pic>
              </a:graphicData>
            </a:graphic>
          </wp:inline>
        </w:drawing>
      </w:r>
    </w:p>
    <w:p>
      <w:pPr>
        <w:spacing w:after="160" w:before="0"/>
        <w:jc w:val="center"/>
      </w:pPr>
      <w:r>
        <w:rPr>
          <w:i/>
          <w:sz w:val="22"/>
        </w:rPr>
        <w:t>Fig. 5: Recall with and without one re-joining pass; precision shown below each pair</w:t>
      </w:r>
    </w:p>
    <w:p>
      <w:pPr>
        <w:sectPr>
          <w:type w:val="continuous"/>
          <w:pgSz w:w="12240" w:h="15840"/>
          <w:pgMar w:top="1080" w:right="1008" w:bottom="1440" w:left="1008" w:header="720" w:footer="720" w:gutter="0"/>
          <w:cols w:space="360" w:num="1"/>
          <w:docGrid w:linePitch="360"/>
        </w:sectPr>
      </w:pP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0.87–0.96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BM25F 0.41–0.44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 label-only check of the zone around t_high found that only 2 held-out Play Store reviews scored above it, both joined correctly, so short reviews almost never reach automatic joins and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21-word reviews, where reports of one problem often share little wording.</w:t>
      </w:r>
    </w:p>
    <w:p>
      <w:pPr>
        <w:spacing w:after="80" w:before="0"/>
        <w:ind w:firstLine="288"/>
        <w:jc w:val="both"/>
      </w:pPr>
      <w:r>
        <w:rPr>
          <w:rFonts w:ascii="Times New Roman" w:hAnsi="Times New Roman"/>
          <w:b w:val="0"/>
          <w:i w:val="0"/>
          <w:sz w:val="24"/>
        </w:rPr>
        <w:t>Complaint text varies by channel: a 21-word app review and a multi-paragraph bug report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Baselines tuned on Firefox itself do better (CLAP F1 0.37, BERTopic 0.54) but remain below InsightDesk’s 0.78, and they require labelled data in each new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first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024743"/>
            <wp:docPr id="17" name="Picture 17"/>
            <wp:cNvGraphicFramePr>
              <a:graphicFrameLocks noChangeAspect="1"/>
            </wp:cNvGraphicFramePr>
            <a:graphic>
              <a:graphicData uri="http://schemas.openxmlformats.org/drawingml/2006/picture">
                <pic:pic>
                  <pic:nvPicPr>
                    <pic:cNvPr id="0" name="fig6c.png"/>
                    <pic:cNvPicPr/>
                  </pic:nvPicPr>
                  <pic:blipFill>
                    <a:blip r:embed="rId25"/>
                    <a:stretch>
                      <a:fillRect/>
                    </a:stretch>
                  </pic:blipFill>
                  <pic:spPr>
                    <a:xfrm>
                      <a:off x="0" y="0"/>
                      <a:ext cx="5486400" cy="2024743"/>
                    </a:xfrm>
                    <a:prstGeom prst="rect"/>
                  </pic:spPr>
                </pic:pic>
              </a:graphicData>
            </a:graphic>
          </wp:inline>
        </w:drawing>
      </w:r>
    </w:p>
    <w:p>
      <w:pPr>
        <w:spacing w:after="160" w:before="0"/>
        <w:jc w:val="center"/>
      </w:pPr>
      <w:r>
        <w:rPr>
          <w:i/>
          <w:sz w:val="22"/>
        </w:rPr>
        <w:t>Fig. 6: Share of simulated incidents detected in 6-hour windows; InsightDesk under one false alarm per 100 windows</w:t>
      </w:r>
    </w:p>
    <w:p>
      <w:pPr>
        <w:sectPr>
          <w:type w:val="continuous"/>
          <w:pgSz w:w="12240" w:h="15840"/>
          <w:pgMar w:top="1080" w:right="1008" w:bottom="1440" w:left="1008" w:header="720" w:footer="720" w:gutter="0"/>
          <w:cols w:space="360" w:num="1"/>
          <w:docGrid w:linePitch="360"/>
        </w:sectPr>
      </w:pP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complaints land in the right case (case precision 0.89–0.92 on an unseen company and unseen products), while pairwise precision there (0.61–0.64)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“iPACK: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