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before="0" w:after="55" w:line="360" w:lineRule="auto"/>
      </w:pPr>
      <w:r>
        <w:rPr>
          <w:rFonts w:ascii="黑体" w:eastAsia="黑体" w:hAnsi="黑体"/>
          <w:sz w:val="34"/>
          <w:szCs w:val="34"/>
          <w:b/>
        </w:rPr>
        <w:t xml:space="preserve">多级直线加速器</w:t>
      </w:r>
    </w:p>
    <w:p>
      <w:pPr>
        <w:jc w:val="center"/>
        <w:spacing w:before="0" w:after="190" w:line="360" w:lineRule="auto"/>
      </w:pPr>
      <w:r>
        <w:rPr>
          <w:rFonts w:ascii="黑体" w:eastAsia="黑体" w:hAnsi="黑体"/>
          <w:sz w:val="30"/>
          <w:szCs w:val="30"/>
          <w:b/>
        </w:rPr>
        <w:t xml:space="preserve">一题三变＋高考真题·字母推导版</w:t>
      </w:r>
    </w:p>
    <w:p>
      <w:pPr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原例题核心模型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电子在金属圆筒内部近似不受静电力，做匀速直线运动；只在相邻圆筒之间的间隙中受到静电力而加速。采用最短同步设计时，电子通过每个圆筒的时间均为交变电压周期的一半。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设电子质量为m，电荷量的绝对值为e，交变电压的绝对值为u，周期为T。电子进入第n个圆筒前共经过n次加速。根据动能定理可得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n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m</m:t>
          </m:r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采用最短同步条件时，电子通过第n个圆筒的时间为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因此，第n个圆筒的长度为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e>
          </m:rad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sub>
          </m:sSub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所以各圆筒长度不构成等差数列，而满足平方根规律。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⋯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⋯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rad>
            <m:radPr>
              <m:degHide m:val="1"/>
            </m:radPr>
            <m:deg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e>
          </m:rad>
        </m:oMath>
      </m:oMathPara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一、基础变式——同模型规律巩固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某电子直线加速器由多个同轴金属圆筒组成，电子从静止开始运动。交变电压的绝对值为u，周期为T。电子通过圆筒间隙的时间忽略不计，且每次通过间隙时均受到加速。已知第1个圆筒的长度为L。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（1）求电子进入第n个圆筒时的速度。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（2）用L和n表示第n个圆筒的长度。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（3）求第p个圆筒与第q个圆筒的长度之比。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（4）求电子进入第p个圆筒与进入第q个圆筒时的动能之比。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（5）电子依次通过前N个圆筒所用的时间是多少？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e>
          </m:rad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L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p</m:t>
              </m:r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rad>
            <m:radPr>
              <m:degHide m:val="1"/>
            </m:radPr>
            <m:deg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e>
          </m:rad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</m:oMath>
      </m:oMathPara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</m:oMath>
      </m:oMathPara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电子进入第n个圆筒前共经过n个加速间隙。根据动能定理可得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n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m</m:t>
          </m:r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解得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电子通过各圆筒的时间均为T/2，因此圆筒长度与电子进入该圆筒时的速度成正比。又因为第1个圆筒的长度为L，所以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e>
          </m:rad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L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由此可得第p、q个圆筒的长度之比为</w:t>
      </w:r>
    </w:p>
    <w:p>
      <w:pPr>
        <w:jc w:val="center"/>
        <w:spacing w:before="35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p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den>
              </m:f>
            </m:e>
          </m:rad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电子进入第n个圆筒时的动能为neu，因此动能之比等于加速次数之比。电子通过每个圆筒所需时间均为T/2，故通过前N个圆筒的总时间为NT/2。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二、情境变式——粒子具有初速度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带电粒子的质量为m，电荷量的绝对值为q，以给定初速度从序号为0的金属圆板中央进入直线加速器。交变电压的绝对值为U，周期为T。粒子每通过一个圆筒间隙，静电力均对其做正功，且通过间隙的时间忽略不计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（1）求粒子进入第n个圆筒时的速度。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（2）采用最短同步条件，求第n个圆筒的长度。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（3）证明圆筒长度的平方随序号n均匀增加。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（4）求相邻两个圆筒长度平方之差。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sSup>
                <m:sSup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Book Antiqua" w:eastAsia="Book Antiqua" w:hAnsi="Book Antiqua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+</m:t>
              </m:r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ad>
            <m:radPr>
              <m:degHide m:val="1"/>
            </m:radPr>
            <m:deg/>
            <m:e>
              <m:sSup>
                <m:sSup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Book Antiqua" w:eastAsia="Book Antiqua" w:hAnsi="Book Antiqua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+</m:t>
              </m:r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>
      <w:pPr>
        <w:jc w:val="center"/>
        <w:spacing w:before="35" w:after="80" w:line="300" w:lineRule="auto"/>
      </w:pPr>
      <m:oMathPara>
        <m:oMath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Book Antiqua" w:eastAsia="Book Antiqua" w:hAnsi="Book Antiqua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n</m:t>
          </m:r>
        </m:oMath>
      </m:oMathPara>
    </w:p>
    <w:p>
      <w:pPr>
        <w:jc w:val="center"/>
        <w:spacing w:before="35" w:after="80" w:line="300" w:lineRule="auto"/>
      </w:pPr>
      <m:oMathPara>
        <m:oMath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</m:t>
              </m:r>
            </m:den>
          </m:f>
        </m:oMath>
      </m:oMathPara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粒子进入第n个圆筒前共经过n次加速。根据动能定理可得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n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m</m:t>
          </m:r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m</m:t>
          </m:r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整理可得粒子进入第n个圆筒时的速度。采用最短同步条件时，粒子通过每个圆筒的时间为T/2，因此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将速度表达式代入并平方，可得</w:t>
      </w:r>
    </w:p>
    <w:p>
      <w:pPr>
        <w:jc w:val="center"/>
        <w:spacing w:before="35" w:after="80" w:line="300" w:lineRule="auto"/>
      </w:pPr>
      <m:oMathPara>
        <m:oMath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Book Antiqua" w:eastAsia="Book Antiqua" w:hAnsi="Book Antiqua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n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该式是关于序号n的一次函数，所以圆筒长度的平方构成等差数列；相邻两项之差为常量。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三、素养提升——同一加速器加速不同粒子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直线加速器原来用于加速粒子甲。粒子甲的质量、电荷量绝对值、交变电压绝对值和周期均在公式中用下标1表示。现用同一组圆筒加速粒子乙，粒子乙的相应物理量均在公式中用下标2表示。两种粒子的初速度均忽略不计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（1）推导粒子乙能够使用原有圆筒同步加速的条件。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（2）若两种情况下交变电压保持不变，求两个周期的关系。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（3）若两种情况下交变电压周期保持不变，求两个电压的关系。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（4）两种粒子分别经过n次加速后，求其动能之比。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b>
          </m:sSub>
          <m:rad>
            <m:radPr>
              <m:degHide m:val="1"/>
            </m:radPr>
            <m:deg/>
            <m:e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sub>
          </m:sSub>
          <m:rad>
            <m:radPr>
              <m:degHide m:val="1"/>
            </m:radPr>
            <m:deg/>
            <m:e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jc w:val="center"/>
        <w:spacing w:before="35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>
      <w:pPr>
        <w:jc w:val="center"/>
        <w:spacing w:before="35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>
      <w:pPr>
        <w:jc w:val="center"/>
        <w:spacing w:before="35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粒子甲进入第n个圆筒时的速度为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因此第n个圆筒的长度为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粒子乙使用同一圆筒时，也必须满足相同的圆筒长度。于是</w:t>
      </w:r>
    </w:p>
    <w:p>
      <w:pPr>
        <w:jc w:val="center"/>
        <w:spacing w:before="35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约去相同因子后，即得到同步条件。若电压保持不变，可由同步条件解出周期关系；若周期保持不变，可解出电压关系。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粒子经过n次加速后获得的动能为nqU，因此两种粒子的动能之比等于各自电荷量与加速电压乘积之比。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四、高考真题——回旋加速器的最大速率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【真题来源】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2023年广东省普通高中学业水平选择性考试物理第5题。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90" w:line="360" w:lineRule="auto"/>
      </w:pPr>
      <w:r>
        <w:rPr>
          <w:rFonts w:ascii="宋体" w:eastAsia="宋体" w:hAnsi="宋体"/>
          <w:sz w:val="24"/>
          <w:szCs w:val="24"/>
        </w:rPr>
        <w:t xml:space="preserve">某小型医用回旋加速器，最大回旋半径为0.50 m，磁感应强度大小为1.12 T，质子加速后获得的最大动能为</w:t>
      </w:r>
      <w:r>
        <w:rPr>
          <w:rFonts w:ascii="Times New Roman" w:eastAsia="Times New Roman" w:hAnsi="Times New Roman"/>
          <w:sz w:val="24"/>
          <w:szCs w:val="24"/>
        </w:rPr>
        <w:t xml:space="preserve">1.5×10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7</w:t>
      </w:r>
      <w:r>
        <w:rPr>
          <w:rFonts w:ascii="Times New Roman" w:eastAsia="Times New Roman" w:hAnsi="Times New Roman"/>
          <w:sz w:val="24"/>
          <w:szCs w:val="24"/>
        </w:rPr>
        <w:t xml:space="preserve"> eV</w:t>
      </w:r>
      <w:r>
        <w:rPr>
          <w:rFonts w:ascii="宋体" w:eastAsia="宋体" w:hAnsi="宋体"/>
          <w:sz w:val="24"/>
          <w:szCs w:val="24"/>
        </w:rPr>
        <w:t xml:space="preserve">。根据给出的数据，可计算质子经该回旋加速器加速后的最大速率约为（忽略相对论效应，</w:t>
      </w:r>
      <w:r>
        <w:rPr>
          <w:rFonts w:ascii="Times New Roman" w:eastAsia="Times New Roman" w:hAnsi="Times New Roman"/>
          <w:sz w:val="24"/>
          <w:szCs w:val="24"/>
        </w:rPr>
        <w:t xml:space="preserve">1 eV=1.6×10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−19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）（　　）</w:t>
      </w:r>
    </w:p>
    <w:p>
      <w:pPr>
        <w:spacing w:before="0" w:after="45" w:line="360" w:lineRule="auto"/>
      </w:pPr>
      <w:r>
        <w:rPr>
          <w:rFonts w:ascii="宋体" w:eastAsia="宋体" w:hAnsi="宋体"/>
          <w:sz w:val="24"/>
          <w:szCs w:val="24"/>
        </w:rPr>
        <w:t xml:space="preserve">A．</w:t>
      </w:r>
      <w:r>
        <w:rPr>
          <w:rFonts w:ascii="Times New Roman" w:eastAsia="Times New Roman" w:hAnsi="Times New Roman"/>
          <w:sz w:val="24"/>
          <w:szCs w:val="24"/>
        </w:rPr>
        <w:t xml:space="preserve">3.6×10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6</w:t>
      </w:r>
      <w:r>
        <w:rPr>
          <w:rFonts w:ascii="Times New Roman" w:eastAsia="Times New Roman" w:hAnsi="Times New Roman"/>
          <w:sz w:val="24"/>
          <w:szCs w:val="24"/>
        </w:rPr>
        <w:t xml:space="preserve"> m/s</w:t>
      </w:r>
    </w:p>
    <w:p>
      <w:pPr>
        <w:spacing w:before="0" w:after="45" w:line="360" w:lineRule="auto"/>
      </w:pPr>
      <w:r>
        <w:rPr>
          <w:rFonts w:ascii="宋体" w:eastAsia="宋体" w:hAnsi="宋体"/>
          <w:sz w:val="24"/>
          <w:szCs w:val="24"/>
        </w:rPr>
        <w:t xml:space="preserve">B．</w:t>
      </w:r>
      <w:r>
        <w:rPr>
          <w:rFonts w:ascii="Times New Roman" w:eastAsia="Times New Roman" w:hAnsi="Times New Roman"/>
          <w:sz w:val="24"/>
          <w:szCs w:val="24"/>
        </w:rPr>
        <w:t xml:space="preserve">1.2×10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7</w:t>
      </w:r>
      <w:r>
        <w:rPr>
          <w:rFonts w:ascii="Times New Roman" w:eastAsia="Times New Roman" w:hAnsi="Times New Roman"/>
          <w:sz w:val="24"/>
          <w:szCs w:val="24"/>
        </w:rPr>
        <w:t xml:space="preserve"> m/s</w:t>
      </w:r>
    </w:p>
    <w:p>
      <w:pPr>
        <w:spacing w:before="0" w:after="45" w:line="360" w:lineRule="auto"/>
      </w:pPr>
      <w:r>
        <w:rPr>
          <w:rFonts w:ascii="宋体" w:eastAsia="宋体" w:hAnsi="宋体"/>
          <w:sz w:val="24"/>
          <w:szCs w:val="24"/>
        </w:rPr>
        <w:t xml:space="preserve">C．</w:t>
      </w:r>
      <w:r>
        <w:rPr>
          <w:rFonts w:ascii="Times New Roman" w:eastAsia="Times New Roman" w:hAnsi="Times New Roman"/>
          <w:sz w:val="24"/>
          <w:szCs w:val="24"/>
        </w:rPr>
        <w:t xml:space="preserve">5.4×10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7</w:t>
      </w:r>
      <w:r>
        <w:rPr>
          <w:rFonts w:ascii="Times New Roman" w:eastAsia="Times New Roman" w:hAnsi="Times New Roman"/>
          <w:sz w:val="24"/>
          <w:szCs w:val="24"/>
        </w:rPr>
        <w:t xml:space="preserve"> m/s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D．</w:t>
      </w:r>
      <w:r>
        <w:rPr>
          <w:rFonts w:ascii="Times New Roman" w:eastAsia="Times New Roman" w:hAnsi="Times New Roman"/>
          <w:sz w:val="24"/>
          <w:szCs w:val="24"/>
        </w:rPr>
        <w:t xml:space="preserve">2.4×10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8</w:t>
      </w:r>
      <w:r>
        <w:rPr>
          <w:rFonts w:ascii="Times New Roman" w:eastAsia="Times New Roman" w:hAnsi="Times New Roman"/>
          <w:sz w:val="24"/>
          <w:szCs w:val="24"/>
        </w:rPr>
        <w:t xml:space="preserve"> m/s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C。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质子运动到最大回旋半径时，洛伦兹力提供向心力。根据牛顿第二定律可得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r>
            <m:rPr>
              <m:sty m:val="i"/>
            </m:rPr>
            <w:rPr>
              <w:rFonts w:ascii="Book Antiqua" w:eastAsia="Book Antiqua" w:hAnsi="Book Antiqua"/>
              <w:sz w:val="24"/>
              <w:szCs w:val="24"/>
            </w:rPr>
            <m:t>v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</m:t>
              </m:r>
              <m:sSup>
                <m:sSup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整理可得质子的动量关系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m</m:t>
          </m:r>
          <m:r>
            <m:rPr>
              <m:sty m:val="i"/>
            </m:rPr>
            <w:rPr>
              <w:rFonts w:ascii="Book Antiqua" w:eastAsia="Book Antiqua" w:hAnsi="Book Antiqua"/>
              <w:sz w:val="24"/>
              <w:szCs w:val="24"/>
            </w:rPr>
            <m:t>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B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R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根据动能表达式，将上式代入可得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k,max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m</m:t>
          </m:r>
          <m:sSup>
            <m:sSup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B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R</m:t>
          </m:r>
          <m:r>
            <m:rPr>
              <m:sty m:val="i"/>
            </m:rPr>
            <w:rPr>
              <w:rFonts w:ascii="Book Antiqua" w:eastAsia="Book Antiqua" w:hAnsi="Book Antiqua"/>
              <w:sz w:val="24"/>
              <w:szCs w:val="24"/>
            </w:rPr>
            <m:t>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因此，质子的最大速率为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Book Antiqua" w:eastAsia="Book Antiqua" w:hAnsi="Book Antiqua"/>
              <w:sz w:val="24"/>
              <w:szCs w:val="24"/>
            </w:rPr>
            <m:t>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k,max</m:t>
                  </m:r>
                </m:sub>
              </m:sSub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质子的电荷量为元电荷。把以电子伏特为单位的动能换算为焦耳时，分子中出现的元电荷与分母中的质子电荷量相约，故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Book Antiqua" w:eastAsia="Book Antiqua" w:hAnsi="Book Antiqua"/>
              <w:sz w:val="24"/>
              <w:szCs w:val="24"/>
            </w:rPr>
            <m:t>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1.5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1.12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0.50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 m/s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5.4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7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 m/s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故选C。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【与原例题的关联】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原例题研究直线加速器中粒子每次通过间隙获得相同能量，并利用同步条件设计圆筒长度；本题研究回旋加速器中粒子反复通过交变电场获得能量。两题的共同核心是“交变电场重复加速＋能量关系”，本题进一步把粒子的最大动能与磁场、最大轨道半径联系起来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易错提醒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1. 粒子只在圆筒间隙中加速，在金属圆筒内部做匀速直线运动。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2. 每次通过间隙后，粒子的动能增加量相同，而速度增加量并不相同。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3. 由动能与加速次数成正比可知，速度与加速次数的平方根成正比，因此圆筒长度也按平方根规律增加。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4. 取T/2是最短同步设计；理论上取半周期的奇数倍也能实现同步，但会使圆筒显著变长。</w:t>
      </w:r>
    </w:p>
    <w:sectPr>
      <w:pgSz w:w="11906" w:h="16838"/>
      <w:pgMar w:top="1247" w:right="1191" w:bottom="1247" w:left="1191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