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drawing>
          <wp:inline distT="0" distB="0" distL="0" distR="0">
            <wp:extent cx="6309360" cy="210312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21031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40"/>
        <w:jc w:val="center"/>
      </w:pPr>
      <w:r>
        <w:rPr>
          <w:b/>
          <w:color w:val="0A0A5C"/>
          <w:sz w:val="40"/>
        </w:rPr>
        <w:t>Submission 1 · Group Roster &amp; Initial Research Plan</w:t>
      </w:r>
    </w:p>
    <w:p>
      <w:pPr>
        <w:jc w:val="center"/>
      </w:pPr>
      <w:r>
        <w:rPr>
          <w:color w:val="595959"/>
        </w:rPr>
        <w:t xml:space="preserve"> LIFE/ALC RLPBL Studios  |  Complete this sheet as a group</w:t>
      </w:r>
    </w:p>
    <w:p>
      <w:pPr>
        <w:spacing w:after="200"/>
        <w:jc w:val="center"/>
      </w:pPr>
      <w:r>
        <w:rPr>
          <w:i/>
          <w:color w:val="595959"/>
          <w:sz w:val="20"/>
        </w:rPr>
        <w:t>The group leader submits the final version to Learning Mall.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576"/>
        <w:gridCol w:w="3312"/>
        <w:gridCol w:w="576"/>
        <w:gridCol w:w="2160"/>
      </w:tblGrid>
      <w:tr>
        <w:tc>
          <w:tcPr>
            <w:tcW w:w="3312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1  Set your research aim</w:t>
            </w:r>
          </w:p>
        </w:tc>
        <w:tc>
          <w:tcPr>
            <w:tcW w:w="576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i/>
                <w:color w:val="595959"/>
                <w:sz w:val="20"/>
              </w:rPr>
              <w:t>→</w:t>
            </w:r>
          </w:p>
        </w:tc>
        <w:tc>
          <w:tcPr>
            <w:tcW w:w="3312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2  Assign roles &amp; contributions</w:t>
            </w:r>
          </w:p>
        </w:tc>
        <w:tc>
          <w:tcPr>
            <w:tcW w:w="576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i/>
                <w:color w:val="595959"/>
                <w:sz w:val="20"/>
              </w:rPr>
              <w:t>→</w:t>
            </w:r>
          </w:p>
        </w:tc>
        <w:tc>
          <w:tcPr>
            <w:tcW w:w="2160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3  Leader submits</w:t>
            </w:r>
          </w:p>
        </w:tc>
      </w:tr>
    </w:tbl>
    <w:p/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3213"/>
        <w:gridCol w:w="1728"/>
        <w:gridCol w:w="2160"/>
      </w:tblGrid>
      <w:tr>
        <w:tc>
          <w:tcPr>
            <w:tcW w:w="2835" w:type="dxa"/>
            <w:shd w:val="clear" w:color="auto" w:fill="0A0A5C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GROUP CODE</w:t>
            </w:r>
          </w:p>
        </w:tc>
        <w:tc>
          <w:tcPr>
            <w:tcW w:w="3213" w:type="dxa"/>
            <w:shd w:val="clear" w:color="auto" w:fill="0A0A5C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CHOSEN TOPIC</w:t>
            </w:r>
          </w:p>
        </w:tc>
        <w:tc>
          <w:tcPr>
            <w:tcW w:w="1728" w:type="dxa"/>
            <w:shd w:val="clear" w:color="auto" w:fill="0A0A5C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GROUP SIZE</w:t>
            </w:r>
          </w:p>
        </w:tc>
        <w:tc>
          <w:tcPr>
            <w:tcW w:w="2160" w:type="dxa"/>
            <w:shd w:val="clear" w:color="auto" w:fill="0A0A5C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DATE / DUE</w:t>
            </w:r>
          </w:p>
        </w:tc>
      </w:tr>
      <w:tr>
        <w:trPr>
          <w:trHeight w:val="500"/>
        </w:trPr>
        <w:tc>
          <w:tcPr>
            <w:tcW w:w="28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6</w:t>
            </w:r>
          </w:p>
        </w:tc>
        <w:tc>
          <w:tcPr>
            <w:tcW w:w="321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Magic Town Coffee (魔方小镇咖啡) — the business ecosystem of a multi-store “bookstore + coffee” brand</w:t>
            </w:r>
            <w:bookmarkStart w:id="0" w:name="_GoBack"/>
            <w:bookmarkEnd w:id="0"/>
          </w:p>
        </w:tc>
        <w:tc>
          <w:tcPr>
            <w:tcW w:w="17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five people</w:t>
            </w:r>
          </w:p>
        </w:tc>
        <w:tc>
          <w:tcPr>
            <w:tcW w:w="216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  <w:rPr>
                <w:highlight w:val="yellow"/>
              </w:rPr>
            </w:pPr>
            <w:r>
              <w:rPr>
                <w:sz w:val="20"/>
                <w:highlight w:val="yellow"/>
              </w:rPr>
              <w:t xml:space="preserve"> </w:t>
            </w:r>
            <w:r>
              <w:rPr>
                <w:rFonts w:eastAsia="MiSans" w:cs="Calibri"/>
                <w:color w:val="1F2937"/>
                <w:sz w:val="21"/>
                <w:szCs w:val="21"/>
                <w:highlight w:val="yellow"/>
              </w:rPr>
              <w:t>Friday 18 Sep, 23:59</w:t>
            </w:r>
          </w:p>
        </w:tc>
      </w:tr>
    </w:tbl>
    <w:p/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460"/>
        </w:trPr>
        <w:tc>
          <w:tcPr>
            <w:tcW w:w="9936" w:type="dxa"/>
            <w:shd w:val="clear" w:color="auto" w:fill="981A8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Part 1 · Initial Research Plan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20"/>
        </w:rPr>
        <w:t>Draft this section together before filling in the roster — everyone should agree on the aim, objectives and question before roles are assigned.</w:t>
      </w:r>
    </w:p>
    <w:p>
      <w:pPr>
        <w:spacing w:after="4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119"/>
        </w:trPr>
        <w:tc>
          <w:tcPr>
            <w:tcW w:w="9936" w:type="dxa"/>
            <w:shd w:val="clear" w:color="auto" w:fill="F7F3F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0A0A5C"/>
                <w:sz w:val="24"/>
              </w:rPr>
              <w:t>1.1 · Initial Research Aim</w:t>
            </w:r>
          </w:p>
          <w:p>
            <w:pPr>
              <w:spacing w:after="40"/>
            </w:pPr>
            <w:r>
              <w:rPr>
                <w:i/>
                <w:color w:val="595959"/>
                <w:sz w:val="20"/>
              </w:rPr>
              <w:t>One broad statement of what your group ultimately wants to achieve with this project.</w:t>
            </w:r>
          </w:p>
          <w:p>
            <w:pPr>
              <w:spacing w:after="60"/>
            </w:pPr>
            <w:r>
              <w:rPr>
                <w:sz w:val="21"/>
              </w:rPr>
              <w:t xml:space="preserve">To understand how Magic Town Coffee’s “bookstore + coffee” study space and its loss-guarantee partnership model hold together a multi-store business ecosystem of the brand, store partners, property owners, suppliers and members — and to identify what would make this ecosystem more balanced, resilient and sustainable.</w:t>
            </w:r>
          </w:p>
        </w:tc>
      </w:tr>
    </w:tbl>
    <w:p/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640"/>
        </w:trPr>
        <w:tc>
          <w:tcPr>
            <w:tcW w:w="9936" w:type="dxa"/>
            <w:shd w:val="clear" w:color="auto" w:fill="F7F3F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0A0A5C"/>
                <w:sz w:val="24"/>
              </w:rPr>
              <w:t>1.2 · Research Objectives</w:t>
            </w:r>
          </w:p>
          <w:p>
            <w:pPr>
              <w:spacing w:after="40"/>
            </w:pPr>
            <w:r>
              <w:rPr>
                <w:i/>
                <w:color w:val="595959"/>
                <w:sz w:val="20"/>
              </w:rPr>
              <w:t>2–4 specific, measurable steps that will help you reach the aim (what you will actually do).</w:t>
            </w:r>
          </w:p>
          <w:p>
            <w:pPr>
              <w:spacing w:after="60"/>
            </w:pPr>
            <w:r>
              <w:rPr>
                <w:sz w:val="21"/>
              </w:rPr>
              <w:t xml:space="preserve">1) Map the ecosystem’s actors (brand HQ, store partners/investors, landlords and venues, coffee and book suppliers, members) and the value each gives and receives, for at least 4 Magic Town Coffee stores, using public sources (official accounts, Dianping, Xiaohongshu, news), by the end of Week 4.</w:t>
            </w:r>
          </w:p>
          <w:p>
            <w:pPr>
              <w:spacing w:after="60"/>
            </w:pPr>
            <w:r>
              <w:rPr>
                <w:sz w:val="21"/>
              </w:rPr>
              <w:t xml:space="preserve">2) Interview at least 4 stakeholders (e.g. a store manager or barista, a current or prospective partner, regular members) online or in person about how revenue, costs and risk are shared.</w:t>
            </w:r>
          </w:p>
          <w:p>
            <w:pPr>
              <w:spacing w:after="60"/>
            </w:pPr>
            <w:r>
              <w:rPr>
                <w:sz w:val="21"/>
              </w:rPr>
              <w:t xml:space="preserve">3) Survey 60+ students and young professionals who study in cafés, and code 150+ online reviews, to measure what keeps customers coming back — the space, the drinks or the membership.</w:t>
            </w:r>
          </w:p>
          <w:p>
            <w:pPr>
              <w:spacing w:after="60"/>
            </w:pPr>
            <w:r>
              <w:rPr>
                <w:sz w:val="21"/>
              </w:rPr>
              <w:t xml:space="preserve">4) Compare Magic Town Coffee with 2 similar “third-space” models (e.g. a bookstore-café chain and a paid self-study room) and draft 2–3 practical recommendations on the three issues identified in our topic report.</w:t>
            </w:r>
          </w:p>
        </w:tc>
      </w:tr>
    </w:tbl>
    <w:p/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640"/>
        </w:trPr>
        <w:tc>
          <w:tcPr>
            <w:tcW w:w="9936" w:type="dxa"/>
            <w:shd w:val="clear" w:color="auto" w:fill="F7F3F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0A0A5C"/>
                <w:sz w:val="24"/>
              </w:rPr>
              <w:t>1.3 · Research Question(s)</w:t>
            </w:r>
          </w:p>
          <w:p>
            <w:pPr>
              <w:spacing w:after="40"/>
            </w:pPr>
            <w:r>
              <w:rPr>
                <w:i/>
                <w:color w:val="595959"/>
                <w:sz w:val="20"/>
              </w:rPr>
              <w:t>1–3 genuine open questions you want to find out — a good question cannot be answered with yes/no.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How are risks, costs and profits shared between the Magic Town Coffee brand and its store partners, and how does the loss-guarantee mechanism affect the brand’s financial sustainability as it expands?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What roles do partners, property owners, suppliers and members each play in the ecosystem, and how could a more diverse cooperation network (e.g. cultural-tourism venues, libraries, universities) make it more resilient?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To what extent is customer loyalty driven by the study space rather than the coffee itself, and what could give the products a stronger point of difference?</w:t>
            </w:r>
          </w:p>
        </w:tc>
      </w:tr>
    </w:tbl>
    <w:p/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640"/>
        </w:trPr>
        <w:tc>
          <w:tcPr>
            <w:tcW w:w="9936" w:type="dxa"/>
            <w:shd w:val="clear" w:color="auto" w:fill="F7F3F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0A0A5C"/>
                <w:sz w:val="24"/>
              </w:rPr>
              <w:t>1.4 · Why this topic?  ·  What do we already know?</w:t>
            </w:r>
          </w:p>
          <w:p>
            <w:pPr>
              <w:spacing w:after="40"/>
            </w:pPr>
            <w:r>
              <w:rPr>
                <w:i/>
                <w:color w:val="595959"/>
                <w:sz w:val="20"/>
              </w:rPr>
              <w:t>Personal connections and genuine curiosity are welcome. Record honestly — no full research needed yet.</w:t>
            </w:r>
          </w:p>
          <w:p>
            <w:pPr>
              <w:spacing w:after="60"/>
            </w:pPr>
            <w:r>
              <w:rPr>
                <w:b/>
                <w:color w:val="0A0A5C"/>
                <w:sz w:val="21"/>
              </w:rPr>
              <w:t xml:space="preserve">Why this topic: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Many students, including us, spend whole afternoons studying in cafés — we want to know how a café survives when customers stay for hours on one drink.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A partnership where the brand covers partners’ losses sounds too good to be true — we are curious who really carries the risk.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It is a small, easy-to-observe case in which we can see a whole business ecosystem (brand, partners, landlords, members) working together.</w:t>
            </w:r>
          </w:p>
          <w:p>
            <w:pPr>
              <w:spacing w:after="60"/>
            </w:pPr>
            <w:r>
              <w:rPr>
                <w:b/>
                <w:color w:val="0A0A5C"/>
                <w:sz w:val="21"/>
              </w:rPr>
              <w:t xml:space="preserve">What we already know: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The first store is in Dalian; its branches copy the same immersive “bookstore + coffee” format built for long study sessions.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Fast expansion relies on a partnership model with a loss guarantee, which attracts investors but puts heavy capital pressure on the brand.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Drinks are easy to copy and the coffee industry is in a price war, so the main draw is the space and the member community.</w:t>
            </w:r>
          </w:p>
          <w:p>
            <w:pPr>
              <w:spacing w:after="60"/>
            </w:pPr>
            <w:r>
              <w:rPr>
                <w:sz w:val="21"/>
              </w:rPr>
              <w:t xml:space="preserve">•  Store sites depend on commercial-property deals, which are unstable; urban renewal and cultural-tourism projects may offer new partners.</w:t>
            </w:r>
          </w:p>
        </w:tc>
      </w:tr>
    </w:tbl>
    <w:p>
      <w:pPr>
        <w:spacing w:after="12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460"/>
        </w:trPr>
        <w:tc>
          <w:tcPr>
            <w:tcW w:w="9936" w:type="dxa"/>
            <w:shd w:val="clear" w:color="auto" w:fill="981A8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Part 2 · Group Roster  (5–6 Members)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20"/>
        </w:rPr>
        <w:t>Every member lists one clear strength and the contribution they expect to make. Each member must hold a named responsibility — the team must have a group leader, and no vague “support” roles. Signing means you agree to this contract.</w:t>
      </w:r>
    </w:p>
    <w:p>
      <w:pPr>
        <w:jc w:val="center"/>
      </w:pPr>
      <w:r>
        <w:drawing>
          <wp:inline distT="0" distB="0" distL="0" distR="0">
            <wp:extent cx="4187952" cy="1395983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7952" cy="13959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jc w:val="center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986"/>
        <w:gridCol w:w="1691"/>
        <w:gridCol w:w="2354"/>
        <w:gridCol w:w="2979"/>
        <w:gridCol w:w="2095"/>
      </w:tblGrid>
      <w:tr>
        <w:trPr>
          <w:trHeight w:val="739"/>
        </w:trPr>
        <w:tc>
          <w:tcPr>
            <w:tcW w:w="515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86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691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Belbin Top Role</w:t>
            </w:r>
          </w:p>
        </w:tc>
        <w:tc>
          <w:tcPr>
            <w:tcW w:w="2354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Strength / Concrete Skill</w:t>
            </w:r>
          </w:p>
        </w:tc>
        <w:tc>
          <w:tcPr>
            <w:tcW w:w="2979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Possible Contributions to the Project</w:t>
            </w:r>
          </w:p>
        </w:tc>
        <w:tc>
          <w:tcPr>
            <w:tcW w:w="2095" w:type="dxa"/>
            <w:shd w:val="clear" w:color="auto" w:fill="0A0A5C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</w:tr>
      <w:tr>
        <w:trPr>
          <w:trHeight w:val="1376"/>
        </w:trPr>
        <w:tc>
          <w:tcPr>
            <w:tcW w:w="51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1</w:t>
            </w:r>
          </w:p>
        </w:tc>
        <w:tc>
          <w:tcPr>
            <w:tcW w:w="1986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 Jingxin Luo </w:t>
            </w:r>
          </w:p>
          <w:p>
            <w:pPr>
              <w:spacing w:after="0"/>
            </w:pPr>
          </w:p>
        </w:tc>
        <w:tc>
          <w:tcPr>
            <w:tcW w:w="1691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Coordinator </w:t>
            </w:r>
          </w:p>
          <w:p>
            <w:pPr>
              <w:spacing w:after="0"/>
            </w:pPr>
          </w:p>
        </w:tc>
        <w:tc>
          <w:tcPr>
            <w:tcW w:w="2354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Clarifies goals and delegates tasks based on individual strengths.</w:t>
            </w:r>
          </w:p>
        </w:tc>
        <w:tc>
          <w:tcPr>
            <w:tcW w:w="2979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Group leader — runs the weekly Friday meeting, assigns tasks, tracks progress on the four objectives and submits all work to Learning Mall.</w:t>
            </w:r>
          </w:p>
        </w:tc>
        <w:tc>
          <w:tcPr>
            <w:tcW w:w="209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Jingxin Luo </w:t>
            </w:r>
          </w:p>
          <w:p>
            <w:pPr>
              <w:spacing w:after="0"/>
            </w:pPr>
          </w:p>
        </w:tc>
      </w:tr>
      <w:tr>
        <w:trPr>
          <w:trHeight w:val="1376"/>
        </w:trPr>
        <w:tc>
          <w:tcPr>
            <w:tcW w:w="515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2</w:t>
            </w:r>
          </w:p>
        </w:tc>
        <w:tc>
          <w:tcPr>
            <w:tcW w:w="1986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>Alexander Nicolas Tjan</w:t>
            </w:r>
          </w:p>
          <w:p>
            <w:pPr>
              <w:spacing w:after="0"/>
            </w:pPr>
          </w:p>
        </w:tc>
        <w:tc>
          <w:tcPr>
            <w:tcW w:w="1691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Monitor Evaluator</w:t>
            </w:r>
          </w:p>
        </w:tc>
        <w:tc>
          <w:tcPr>
            <w:tcW w:w="2354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Critically examines ideas, logic and evidence, paying attention to details.</w:t>
            </w:r>
          </w:p>
        </w:tc>
        <w:tc>
          <w:tcPr>
            <w:tcW w:w="2979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Analysis &amp; evidence check — leads the risk analysis of the partnership model and checks that every claim is backed by sources or data.</w:t>
            </w:r>
          </w:p>
        </w:tc>
        <w:tc>
          <w:tcPr>
            <w:tcW w:w="2095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Alexander Nicolas Tjan</w:t>
            </w:r>
          </w:p>
          <w:p>
            <w:pPr>
              <w:spacing w:after="0"/>
            </w:pPr>
          </w:p>
        </w:tc>
      </w:tr>
      <w:tr>
        <w:trPr>
          <w:trHeight w:val="2996"/>
        </w:trPr>
        <w:tc>
          <w:tcPr>
            <w:tcW w:w="51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3</w:t>
            </w:r>
          </w:p>
        </w:tc>
        <w:tc>
          <w:tcPr>
            <w:tcW w:w="1986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Augrit Yang Jonrukennet</w:t>
            </w:r>
          </w:p>
          <w:p>
            <w:pPr>
              <w:spacing w:after="0"/>
              <w:rPr>
                <w:sz w:val="20"/>
              </w:rPr>
            </w:pPr>
          </w:p>
        </w:tc>
        <w:tc>
          <w:tcPr>
            <w:tcW w:w="1691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Specialist</w:t>
            </w:r>
          </w:p>
        </w:tc>
        <w:tc>
          <w:tcPr>
            <w:tcW w:w="2354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Dedicated professional who provides in-depth knowledge, technical skills, and expert information in their specific domain.</w:t>
            </w:r>
          </w:p>
        </w:tc>
        <w:tc>
          <w:tcPr>
            <w:tcW w:w="2979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Research &amp; data — collects public sources on Magic Town Coffee and comparator brands; builds and analyses the survey and online-review data.</w:t>
            </w:r>
          </w:p>
        </w:tc>
        <w:tc>
          <w:tcPr>
            <w:tcW w:w="209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 Augrit Yang Jonrukennet</w:t>
            </w:r>
          </w:p>
          <w:p>
            <w:pPr>
              <w:spacing w:after="0"/>
            </w:pPr>
          </w:p>
        </w:tc>
      </w:tr>
      <w:tr>
        <w:trPr>
          <w:trHeight w:val="2294"/>
        </w:trPr>
        <w:tc>
          <w:tcPr>
            <w:tcW w:w="515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4</w:t>
            </w:r>
          </w:p>
        </w:tc>
        <w:tc>
          <w:tcPr>
            <w:tcW w:w="1986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Sophie</w:t>
            </w:r>
          </w:p>
        </w:tc>
        <w:tc>
          <w:tcPr>
            <w:tcW w:w="1691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Completer Finisher</w:t>
            </w:r>
          </w:p>
          <w:p>
            <w:pPr>
              <w:spacing w:after="0"/>
            </w:pPr>
          </w:p>
        </w:tc>
        <w:tc>
          <w:tcPr>
            <w:tcW w:w="2354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Works best with a clear project aim and style guide; produces polished, publication-ready writing aligned with the project’s goals.</w:t>
            </w:r>
          </w:p>
        </w:tc>
        <w:tc>
          <w:tcPr>
            <w:tcW w:w="2979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Editing &amp; final check — proofreads every submission and keeps wording, referencing and formatting clear, accurate and consistent.</w:t>
            </w:r>
          </w:p>
        </w:tc>
        <w:tc>
          <w:tcPr>
            <w:tcW w:w="2095" w:type="dxa"/>
            <w:shd w:val="clear" w:color="auto" w:fill="F7F3F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Sophie</w:t>
            </w:r>
          </w:p>
        </w:tc>
      </w:tr>
      <w:tr>
        <w:trPr>
          <w:trHeight w:val="1376"/>
        </w:trPr>
        <w:tc>
          <w:tcPr>
            <w:tcW w:w="51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5</w:t>
            </w:r>
          </w:p>
        </w:tc>
        <w:tc>
          <w:tcPr>
            <w:tcW w:w="1986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Dingshuo Liu</w:t>
            </w:r>
          </w:p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91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Plant</w:t>
            </w:r>
          </w:p>
          <w:p>
            <w:pPr>
              <w:spacing w:after="0"/>
            </w:pPr>
          </w:p>
        </w:tc>
        <w:tc>
          <w:tcPr>
            <w:tcW w:w="2354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>Comes up with the ideas our group needs to keep the project progressing.</w:t>
            </w:r>
          </w:p>
        </w:tc>
        <w:tc>
          <w:tcPr>
            <w:tcW w:w="2979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Ideation &amp; recommendations — leads brainstorming, drafts the interview questions and the ecosystem map, and develops our recommendations.</w:t>
            </w:r>
          </w:p>
        </w:tc>
        <w:tc>
          <w:tcPr>
            <w:tcW w:w="2095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 Dingshuo Liu</w:t>
            </w:r>
          </w:p>
          <w:p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12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rPr>
          <w:trHeight w:val="460"/>
        </w:trPr>
        <w:tc>
          <w:tcPr>
            <w:tcW w:w="9936" w:type="dxa"/>
            <w:shd w:val="clear" w:color="auto" w:fill="981A8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Part 3 · Team Ground Rules — agree all four</w:t>
            </w:r>
          </w:p>
        </w:tc>
      </w:tr>
    </w:tbl>
    <w:p>
      <w:pPr>
        <w:spacing w:after="40"/>
      </w:pP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744"/>
        <w:gridCol w:w="6192"/>
      </w:tblGrid>
      <w:tr>
        <w:trPr>
          <w:trHeight w:val="560"/>
        </w:trPr>
        <w:tc>
          <w:tcPr>
            <w:tcW w:w="3744" w:type="dxa"/>
            <w:shd w:val="clear" w:color="auto" w:fill="E8E2D8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How often we meet</w:t>
            </w:r>
          </w:p>
        </w:tc>
        <w:tc>
          <w:tcPr>
            <w:tcW w:w="61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Once a week, at the tutorial on Friday.</w:t>
            </w:r>
          </w:p>
        </w:tc>
      </w:tr>
      <w:tr>
        <w:trPr>
          <w:trHeight w:val="560"/>
        </w:trPr>
        <w:tc>
          <w:tcPr>
            <w:tcW w:w="3744" w:type="dxa"/>
            <w:shd w:val="clear" w:color="auto" w:fill="E8E2D8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How we communicate</w:t>
            </w:r>
          </w:p>
        </w:tc>
        <w:tc>
          <w:tcPr>
            <w:tcW w:w="61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Mainly through our WeChat group, and face to face in the tutorial.</w:t>
            </w:r>
          </w:p>
        </w:tc>
      </w:tr>
      <w:tr>
        <w:trPr>
          <w:trHeight w:val="560"/>
        </w:trPr>
        <w:tc>
          <w:tcPr>
            <w:tcW w:w="3744" w:type="dxa"/>
            <w:shd w:val="clear" w:color="auto" w:fill="E8E2D8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How we make decisions</w:t>
            </w:r>
          </w:p>
        </w:tc>
        <w:tc>
          <w:tcPr>
            <w:tcW w:w="61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Majority vote; if it is tied, the group leader decides.</w:t>
            </w:r>
          </w:p>
        </w:tc>
      </w:tr>
      <w:tr>
        <w:trPr>
          <w:trHeight w:val="560"/>
        </w:trPr>
        <w:tc>
          <w:tcPr>
            <w:tcW w:w="3744" w:type="dxa"/>
            <w:shd w:val="clear" w:color="auto" w:fill="E8E2D8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A0A5C"/>
                <w:sz w:val="20"/>
              </w:rPr>
              <w:t>What happens if someone doesn't contribute</w:t>
            </w:r>
          </w:p>
        </w:tc>
        <w:tc>
          <w:tcPr>
            <w:tcW w:w="61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 Members who have finished their own work help complete the missing part so the whole project is finished, and add their own names to the parts they completed.</w:t>
            </w:r>
          </w:p>
        </w:tc>
      </w:tr>
    </w:tbl>
    <w:p>
      <w:pPr>
        <w:spacing w:after="120"/>
      </w:pPr>
    </w:p>
    <w:p>
      <w:r>
        <w:rPr>
          <w:i/>
          <w:color w:val="595959"/>
          <w:sz w:val="18"/>
        </w:rPr>
        <w:t>Roles, strengths and responsibilities can evolve as the project develops — revisit and update this roster when your team’s needs change. By signing above, every member agrees to the contributions and ground rules recorded in this document.</w:t>
      </w:r>
    </w:p>
    <w:sectPr>
      <w:footerReference w:type="default" r:id="rId2"/>
      <w:footerReference w:type="even" r:id="rId3"/>
      <w:pgSz w:w="12240" w:h="15840"/>
      <w:pgMar w:top="720" w:right="1152" w:bottom="720" w:left="115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iSans"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ゴシック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altName w:val="Courier New"/>
    <w:panose1 w:val="02070309020205020404"/>
    <w:charset w:val="00"/>
    <w:family w:val="moder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framePr w:w="0" w:hRule="auto" w:wrap="around" w:vAnchor="text" w:hAnchor="margin" w:xAlign="center" w:y="1" w:anchorLock="0"/>
      <w:tabs>
        <w:tab w:val="center" w:pos="4680"/>
        <w:tab w:val="right" w:pos="9360"/>
      </w:tabs>
      <w:rPr>
        <w:rStyle w:val="48"/>
      </w:rPr>
    </w:pPr>
    <w:r>
      <w:rPr>
        <w:rStyle w:val="48"/>
      </w:rPr>
      <w:fldChar w:fldCharType="begin"/>
    </w:r>
    <w:r>
      <w:rPr>
        <w:rStyle w:val="48"/>
      </w:rPr>
      <w:instrText xml:space="preserve"> PAGE </w:instrText>
    </w:r>
    <w:r>
      <w:rPr>
        <w:rStyle w:val="48"/>
      </w:rPr>
      <w:fldChar w:fldCharType="separate"/>
    </w:r>
    <w:r>
      <w:rPr>
        <w:rStyle w:val="48"/>
      </w:rPr>
      <w:t>1</w:t>
    </w:r>
    <w:r>
      <w:rPr>
        <w:rStyle w:val="48"/>
      </w:rPr>
      <w:fldChar w:fldCharType="end"/>
    </w:r>
  </w:p>
  <w:p>
    <w:pPr>
      <w:pStyle w:val="16"/>
      <w:tabs>
        <w:tab w:val="center" w:pos="4680"/>
        <w:tab w:val="right" w:pos="9360"/>
      </w:tabs>
    </w:pP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framePr w:w="0" w:hRule="auto" w:wrap="around" w:vAnchor="text" w:hAnchor="margin" w:xAlign="center" w:y="1" w:anchorLock="0"/>
      <w:tabs>
        <w:tab w:val="center" w:pos="4680"/>
        <w:tab w:val="right" w:pos="9360"/>
      </w:tabs>
      <w:rPr>
        <w:rStyle w:val="48"/>
      </w:rPr>
    </w:pPr>
    <w:r>
      <w:rPr>
        <w:rStyle w:val="48"/>
      </w:rPr>
      <w:fldChar w:fldCharType="begin"/>
    </w:r>
    <w:r>
      <w:rPr>
        <w:rStyle w:val="48"/>
      </w:rPr>
      <w:instrText xml:space="preserve"> PAGE </w:instrText>
    </w:r>
    <w:r>
      <w:rPr>
        <w:rStyle w:val="48"/>
      </w:rPr>
      <w:fldChar w:fldCharType="separate"/>
    </w:r>
    <w:r>
      <w:rPr>
        <w:rStyle w:val="48"/>
      </w:rPr>
      <w:fldChar w:fldCharType="end"/>
    </w:r>
  </w:p>
  <w:p>
    <w:pPr>
      <w:pStyle w:val="16"/>
      <w:tabs>
        <w:tab w:val="center" w:pos="4680"/>
        <w:tab w:val="right" w:pos="9360"/>
      </w:tabs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6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80" w:line="276" w:lineRule="auto"/>
    </w:pPr>
    <w:rPr>
      <w:rFonts w:ascii="Calibri" w:eastAsia="ＭＳ 明朝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  <w:style w:type="character" w:styleId="48">
    <w:name w:val="page number"/>
    <w:basedOn w:val="1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43</TotalTime>
  <Application>Yozo_Office</Application>
  <Pages>4</Pages>
  <Words>528</Words>
  <Characters>2715</Characters>
  <Lines>160</Lines>
  <Paragraphs>73</Paragraphs>
  <CharactersWithSpaces>3224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4</cp:revision>
  <dcterms:created xsi:type="dcterms:W3CDTF">2013-12-23T23:15:00Z</dcterms:created>
  <dcterms:modified xsi:type="dcterms:W3CDTF">2026-09-18T14:13:45Z</dcterms:modified>
</cp:coreProperties>
</file>