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Fennec candidate-region analysis: SORCS1, GTF2I, GTF2IRD1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X7bec798079609666f661ee2965a77a19da3d31c"/>
    <w:p>
      <w:pPr>
        <w:pStyle w:val="Heading1"/>
      </w:pPr>
      <w:r>
        <w:t xml:space="preserve">Fennec candidate-region analysis — сводка находок</w:t>
      </w:r>
    </w:p>
    <w:p>
      <w:pPr>
        <w:pStyle w:val="FirstParagraph"/>
      </w:pPr>
      <w:r>
        <w:t xml:space="preserve">Дата анализа: 2026-08-03 – 2026-08-04</w:t>
      </w:r>
      <w:r>
        <w:t xml:space="preserve"> </w:t>
      </w:r>
      <w:r>
        <w:t xml:space="preserve">Образцы: 10 (SRR24040930–34, SRR24067120–125), выровнены bwa mem на референс</w:t>
      </w:r>
      <w:r>
        <w:t xml:space="preserve"> </w:t>
      </w:r>
      <w:r>
        <w:rPr>
          <w:rStyle w:val="VerbatimChar"/>
        </w:rPr>
        <w:t xml:space="preserve">reference/reference_subset.fna</w:t>
      </w:r>
      <w:r>
        <w:t xml:space="preserve"> </w:t>
      </w:r>
      <w:r>
        <w:t xml:space="preserve">(CanFam3.1, GCF_000002285.3: NC_006588.3 = chr6, NC_006610.3 = chr28).</w:t>
      </w:r>
    </w:p>
    <w:bookmarkStart w:id="9" w:name="регионы"/>
    <w:p>
      <w:pPr>
        <w:pStyle w:val="Heading2"/>
      </w:pPr>
      <w:r>
        <w:t xml:space="preserve">1. Регионы</w:t>
      </w:r>
    </w:p>
    <w:p>
      <w:pPr>
        <w:pStyle w:val="FirstParagraph"/>
      </w:pPr>
      <w:r>
        <w:t xml:space="preserve">Координаты взяты из официальной GFF3-аннотации именно для сборки GCF_000002285.3 (не из NCBI Gene по умолчанию — та привязана к другой версии хромосом, NC_006588.4/NC_006610.4, несовместимой по координатам).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Ген</w:t>
            </w:r>
          </w:p>
        </w:tc>
        <w:tc>
          <w:tcPr/>
          <w:p>
            <w:pPr>
              <w:pStyle w:val="Compact"/>
            </w:pPr>
            <w:r>
              <w:t xml:space="preserve">Контиг</w:t>
            </w:r>
          </w:p>
        </w:tc>
        <w:tc>
          <w:tcPr/>
          <w:p>
            <w:pPr>
              <w:pStyle w:val="Compact"/>
            </w:pPr>
            <w:r>
              <w:t xml:space="preserve">Координаты гена</w:t>
            </w:r>
          </w:p>
        </w:tc>
        <w:tc>
          <w:tcPr/>
          <w:p>
            <w:pPr>
              <w:pStyle w:val="Compact"/>
            </w:pPr>
            <w:r>
              <w:t xml:space="preserve">С отступом ±5000bp (использовано в анализе)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SORCS1</w:t>
            </w:r>
          </w:p>
        </w:tc>
        <w:tc>
          <w:tcPr/>
          <w:p>
            <w:pPr>
              <w:pStyle w:val="Compact"/>
            </w:pPr>
            <w:r>
              <w:t xml:space="preserve">NC_006610.3 (chr28)</w:t>
            </w:r>
          </w:p>
        </w:tc>
        <w:tc>
          <w:tcPr/>
          <w:p>
            <w:pPr>
              <w:pStyle w:val="Compact"/>
            </w:pPr>
            <w:r>
              <w:t xml:space="preserve">18,619,015–18,933,785</w:t>
            </w:r>
          </w:p>
        </w:tc>
        <w:tc>
          <w:tcPr/>
          <w:p>
            <w:pPr>
              <w:pStyle w:val="Compact"/>
            </w:pPr>
            <w:r>
              <w:t xml:space="preserve">18,614,015–18,938,785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GTF2I</w:t>
            </w:r>
          </w:p>
        </w:tc>
        <w:tc>
          <w:tcPr/>
          <w:p>
            <w:pPr>
              <w:pStyle w:val="Compact"/>
            </w:pPr>
            <w:r>
              <w:t xml:space="preserve">NC_006588.3 (chr6)</w:t>
            </w:r>
          </w:p>
        </w:tc>
        <w:tc>
          <w:tcPr/>
          <w:p>
            <w:pPr>
              <w:pStyle w:val="Compact"/>
            </w:pPr>
            <w:r>
              <w:t xml:space="preserve">5,726,652–5,840,740</w:t>
            </w:r>
          </w:p>
        </w:tc>
        <w:tc>
          <w:tcPr/>
          <w:p>
            <w:pPr>
              <w:pStyle w:val="Compact"/>
            </w:pPr>
            <w:r>
              <w:t xml:space="preserve">5,721,652–5,845,740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GTF2IRD1</w:t>
            </w:r>
          </w:p>
        </w:tc>
        <w:tc>
          <w:tcPr/>
          <w:p>
            <w:pPr>
              <w:pStyle w:val="Compact"/>
            </w:pPr>
            <w:r>
              <w:t xml:space="preserve">NC_006588.3 (chr6)</w:t>
            </w:r>
          </w:p>
        </w:tc>
        <w:tc>
          <w:tcPr/>
          <w:p>
            <w:pPr>
              <w:pStyle w:val="Compact"/>
            </w:pPr>
            <w:r>
              <w:t xml:space="preserve">5,887,757–5,997,627</w:t>
            </w:r>
          </w:p>
        </w:tc>
        <w:tc>
          <w:tcPr/>
          <w:p>
            <w:pPr>
              <w:pStyle w:val="Compact"/>
            </w:pPr>
            <w:r>
              <w:t xml:space="preserve">5,882,757–6,002,627</w:t>
            </w:r>
          </w:p>
        </w:tc>
      </w:tr>
    </w:tbl>
    <w:p>
      <w:pPr>
        <w:pStyle w:val="BodyText"/>
      </w:pPr>
      <w:r>
        <w:t xml:space="preserve">BED-файл:</w:t>
      </w:r>
      <w:r>
        <w:t xml:space="preserve"> </w:t>
      </w:r>
      <w:r>
        <w:rPr>
          <w:rStyle w:val="VerbatimChar"/>
        </w:rPr>
        <w:t xml:space="preserve">variants/candidate_regions.bed</w:t>
      </w:r>
    </w:p>
    <w:bookmarkEnd w:id="9"/>
    <w:bookmarkStart w:id="10" w:name="глубина-покрытия-samtools-depth"/>
    <w:p>
      <w:pPr>
        <w:pStyle w:val="Heading2"/>
      </w:pPr>
      <w:r>
        <w:t xml:space="preserve">2. Глубина покрытия (samtools depth)</w:t>
      </w:r>
    </w:p>
    <w:p>
      <w:pPr>
        <w:pStyle w:val="FirstParagraph"/>
      </w:pPr>
      <w:r>
        <w:t xml:space="preserve">Файл:</w:t>
      </w:r>
      <w:r>
        <w:t xml:space="preserve"> </w:t>
      </w:r>
      <w:r>
        <w:rPr>
          <w:rStyle w:val="VerbatimChar"/>
        </w:rPr>
        <w:t xml:space="preserve">variants/candidate_regions.depth.txt</w:t>
      </w:r>
      <w:r>
        <w:t xml:space="preserve"> </w:t>
      </w:r>
      <w:r>
        <w:t xml:space="preserve">(568,729 позиций × 10 образцов)</w:t>
      </w:r>
    </w:p>
    <w:p>
      <w:pPr>
        <w:pStyle w:val="BodyText"/>
      </w:pPr>
      <w:r>
        <w:t xml:space="preserve">Средняя глубина по регионам (диапазон по образцам):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Регион</w:t>
            </w:r>
          </w:p>
        </w:tc>
        <w:tc>
          <w:tcPr/>
          <w:p>
            <w:pPr>
              <w:pStyle w:val="Compact"/>
            </w:pPr>
            <w:r>
              <w:t xml:space="preserve">Мин</w:t>
            </w:r>
          </w:p>
        </w:tc>
        <w:tc>
          <w:tcPr/>
          <w:p>
            <w:pPr>
              <w:pStyle w:val="Compact"/>
            </w:pPr>
            <w:r>
              <w:t xml:space="preserve">Макс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SORCS1_chr28</w:t>
            </w:r>
          </w:p>
        </w:tc>
        <w:tc>
          <w:tcPr/>
          <w:p>
            <w:pPr>
              <w:pStyle w:val="Compact"/>
            </w:pPr>
            <w:r>
              <w:t xml:space="preserve">2.28× (SRR24067121)</w:t>
            </w:r>
          </w:p>
        </w:tc>
        <w:tc>
          <w:tcPr/>
          <w:p>
            <w:pPr>
              <w:pStyle w:val="Compact"/>
            </w:pPr>
            <w:r>
              <w:t xml:space="preserve">8.50× (SRR24067122)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GTF2I_chr6</w:t>
            </w:r>
          </w:p>
        </w:tc>
        <w:tc>
          <w:tcPr/>
          <w:p>
            <w:pPr>
              <w:pStyle w:val="Compact"/>
            </w:pPr>
            <w:r>
              <w:t xml:space="preserve">4.09× (SRR24067121)</w:t>
            </w:r>
          </w:p>
        </w:tc>
        <w:tc>
          <w:tcPr/>
          <w:p>
            <w:pPr>
              <w:pStyle w:val="Compact"/>
            </w:pPr>
            <w:r>
              <w:t xml:space="preserve">14.96× (SRR24067122)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GTF2IRD1_chr6</w:t>
            </w:r>
          </w:p>
        </w:tc>
        <w:tc>
          <w:tcPr/>
          <w:p>
            <w:pPr>
              <w:pStyle w:val="Compact"/>
            </w:pPr>
            <w:r>
              <w:t xml:space="preserve">2.78× (SRR24067121)</w:t>
            </w:r>
          </w:p>
        </w:tc>
        <w:tc>
          <w:tcPr/>
          <w:p>
            <w:pPr>
              <w:pStyle w:val="Compact"/>
            </w:pPr>
            <w:r>
              <w:t xml:space="preserve">9.82× (SRR24067122)</w:t>
            </w:r>
          </w:p>
        </w:tc>
      </w:tr>
    </w:tbl>
    <w:p>
      <w:pPr>
        <w:pStyle w:val="BodyText"/>
      </w:pPr>
      <w:r>
        <w:t xml:space="preserve">SRR24067121 стабильно самый мелкий образец, SRR24067122 — самый глубокий, во всех трёх регионах.</w:t>
      </w:r>
    </w:p>
    <w:bookmarkEnd w:id="10"/>
    <w:bookmarkStart w:id="12" w:name="вызов-вариантов-bcftools-mpileup-call"/>
    <w:p>
      <w:pPr>
        <w:pStyle w:val="Heading2"/>
      </w:pPr>
      <w:r>
        <w:t xml:space="preserve">3. Вызов вариантов (bcftools mpileup + call)</w:t>
      </w:r>
    </w:p>
    <w:p>
      <w:pPr>
        <w:pStyle w:val="FirstParagraph"/>
      </w:pPr>
      <w:r>
        <w:t xml:space="preserve">Итоговый файл:</w:t>
      </w:r>
      <w:r>
        <w:t xml:space="preserve"> </w:t>
      </w:r>
      <w:r>
        <w:rPr>
          <w:rStyle w:val="VerbatimChar"/>
        </w:rPr>
        <w:t xml:space="preserve">variants/fennec_candidate_regions.vcf</w:t>
      </w:r>
      <w:r>
        <w:t xml:space="preserve"> </w:t>
      </w:r>
      <w:r>
        <w:t xml:space="preserve">(все сайты, с FILTER)</w:t>
      </w:r>
      <w:r>
        <w:t xml:space="preserve"> </w:t>
      </w:r>
      <w:r>
        <w:t xml:space="preserve">Бэкап без фильтра:</w:t>
      </w:r>
      <w:r>
        <w:t xml:space="preserve"> </w:t>
      </w:r>
      <w:r>
        <w:rPr>
          <w:rStyle w:val="VerbatimChar"/>
        </w:rPr>
        <w:t xml:space="preserve">variants/fennec_candidate_regions.unfiltered.vcf</w:t>
      </w:r>
      <w:r>
        <w:t xml:space="preserve"> </w:t>
      </w:r>
      <w:r>
        <w:t xml:space="preserve">Только PASS:</w:t>
      </w:r>
      <w:r>
        <w:t xml:space="preserve"> </w:t>
      </w:r>
      <w:r>
        <w:rPr>
          <w:rStyle w:val="VerbatimChar"/>
        </w:rPr>
        <w:t xml:space="preserve">variants/fennec_candidate_regions.PASS.vcf</w:t>
      </w:r>
    </w:p>
    <w:p>
      <w:pPr>
        <w:pStyle w:val="Compact"/>
        <w:numPr>
          <w:ilvl w:val="0"/>
          <w:numId w:val="1001"/>
        </w:numPr>
      </w:pPr>
      <w:r>
        <w:t xml:space="preserve">Совместный вызов по всем 10 образцам сразу</w:t>
      </w:r>
    </w:p>
    <w:p>
      <w:pPr>
        <w:pStyle w:val="Compact"/>
        <w:numPr>
          <w:ilvl w:val="0"/>
          <w:numId w:val="1001"/>
        </w:numPr>
      </w:pPr>
      <w:r>
        <w:t xml:space="preserve">Всего сайтов (до фильтра):</w:t>
      </w:r>
      <w:r>
        <w:t xml:space="preserve"> </w:t>
      </w:r>
      <w:r>
        <w:rPr>
          <w:b/>
          <w:bCs/>
        </w:rPr>
        <w:t xml:space="preserve">17,370</w:t>
      </w:r>
      <w:r>
        <w:t xml:space="preserve"> </w:t>
      </w:r>
      <w:r>
        <w:t xml:space="preserve">(15,511 SNP, 1,859 indel, 354 мультиаллельных)</w:t>
      </w:r>
    </w:p>
    <w:p>
      <w:pPr>
        <w:pStyle w:val="Compact"/>
        <w:numPr>
          <w:ilvl w:val="0"/>
          <w:numId w:val="1001"/>
        </w:numPr>
      </w:pPr>
      <w:r>
        <w:t xml:space="preserve">После фильтра</w:t>
      </w:r>
      <w:r>
        <w:t xml:space="preserve"> </w:t>
      </w:r>
      <w:r>
        <w:rPr>
          <w:rStyle w:val="VerbatimChar"/>
        </w:rPr>
        <w:t xml:space="preserve">MQ&lt;40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FILTER=LowMQ</w:t>
      </w:r>
      <w:r>
        <w:t xml:space="preserve"> </w:t>
      </w:r>
      <w:r>
        <w:t xml:space="preserve">(мягкий фильтр, сайты не удалены):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PASS: 14,129</w:t>
      </w:r>
      <w:r>
        <w:t xml:space="preserve"> </w:t>
      </w:r>
      <w:r>
        <w:t xml:space="preserve">(12,587 SNP, 1,542 indel)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LowMQ: 3,241</w:t>
      </w:r>
      <w:r>
        <w:t xml:space="preserve"> </w:t>
      </w:r>
      <w:r>
        <w:t xml:space="preserve">(18.7%)</w:t>
      </w:r>
    </w:p>
    <w:bookmarkStart w:id="11" w:name="доля-lowmq-по-регионам"/>
    <w:p>
      <w:pPr>
        <w:pStyle w:val="Heading3"/>
      </w:pPr>
      <w:r>
        <w:t xml:space="preserve">3.1 Доля LowMQ по регионам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Регион</w:t>
            </w:r>
          </w:p>
        </w:tc>
        <w:tc>
          <w:tcPr/>
          <w:p>
            <w:pPr>
              <w:pStyle w:val="Compact"/>
            </w:pPr>
            <w:r>
              <w:t xml:space="preserve">Всего</w:t>
            </w:r>
          </w:p>
        </w:tc>
        <w:tc>
          <w:tcPr/>
          <w:p>
            <w:pPr>
              <w:pStyle w:val="Compact"/>
            </w:pPr>
            <w:r>
              <w:t xml:space="preserve">LowMQ</w:t>
            </w:r>
          </w:p>
        </w:tc>
        <w:tc>
          <w:tcPr/>
          <w:p>
            <w:pPr>
              <w:pStyle w:val="Compact"/>
            </w:pPr>
            <w:r>
              <w:t xml:space="preserve">% LowMQ</w:t>
            </w:r>
          </w:p>
        </w:tc>
      </w:tr>
      <w:tr>
        <w:tc>
          <w:tcPr/>
          <w:p>
            <w:pPr>
              <w:pStyle w:val="Compact"/>
            </w:pPr>
            <w:r>
              <w:t xml:space="preserve">GTF2I_chr6</w:t>
            </w:r>
          </w:p>
        </w:tc>
        <w:tc>
          <w:tcPr/>
          <w:p>
            <w:pPr>
              <w:pStyle w:val="Compact"/>
            </w:pPr>
            <w:r>
              <w:t xml:space="preserve">4,405</w:t>
            </w:r>
          </w:p>
        </w:tc>
        <w:tc>
          <w:tcPr/>
          <w:p>
            <w:pPr>
              <w:pStyle w:val="Compact"/>
            </w:pPr>
            <w:r>
              <w:t xml:space="preserve">1,197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27.2%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GTF2IRD1_chr6</w:t>
            </w:r>
          </w:p>
        </w:tc>
        <w:tc>
          <w:tcPr/>
          <w:p>
            <w:pPr>
              <w:pStyle w:val="Compact"/>
            </w:pPr>
            <w:r>
              <w:t xml:space="preserve">3,963</w:t>
            </w:r>
          </w:p>
        </w:tc>
        <w:tc>
          <w:tcPr/>
          <w:p>
            <w:pPr>
              <w:pStyle w:val="Compact"/>
            </w:pPr>
            <w:r>
              <w:t xml:space="preserve">708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SORCS1_chr28</w:t>
            </w:r>
          </w:p>
        </w:tc>
        <w:tc>
          <w:tcPr/>
          <w:p>
            <w:pPr>
              <w:pStyle w:val="Compact"/>
            </w:pPr>
            <w:r>
              <w:t xml:space="preserve">9,002</w:t>
            </w:r>
          </w:p>
        </w:tc>
        <w:tc>
          <w:tcPr/>
          <w:p>
            <w:pPr>
              <w:pStyle w:val="Compact"/>
            </w:pPr>
            <w:r>
              <w:t xml:space="preserve">1,336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14.8%</w:t>
            </w:r>
          </w:p>
        </w:tc>
      </w:tr>
    </w:tbl>
    <w:bookmarkEnd w:id="11"/>
    <w:bookmarkEnd w:id="12"/>
    <w:bookmarkStart w:id="15" w:name="X3b1324937297b37dac1e29aa141881053cb3ecf"/>
    <w:p>
      <w:pPr>
        <w:pStyle w:val="Heading2"/>
      </w:pPr>
      <w:r>
        <w:t xml:space="preserve">4. Ключевая находка: repeat-driven артефакты картирования</w:t>
      </w:r>
    </w:p>
    <w:bookmarkStart w:id="13" w:name="кластер-в-gtf2i-58449405845085"/>
    <w:p>
      <w:pPr>
        <w:pStyle w:val="Heading3"/>
      </w:pPr>
      <w:r>
        <w:t xml:space="preserve">4.1 Кластер в GTF2I: 5,844,940–5,845,085</w:t>
      </w:r>
    </w:p>
    <w:p>
      <w:pPr>
        <w:pStyle w:val="Compact"/>
        <w:numPr>
          <w:ilvl w:val="0"/>
          <w:numId w:val="1003"/>
        </w:numPr>
      </w:pPr>
      <w:r>
        <w:t xml:space="preserve">9 из топ-10 вариантов по QUAL сгруппированы здесь (QUAL до 2529)</w:t>
      </w:r>
    </w:p>
    <w:p>
      <w:pPr>
        <w:pStyle w:val="Compact"/>
        <w:numPr>
          <w:ilvl w:val="0"/>
          <w:numId w:val="1003"/>
        </w:numPr>
      </w:pPr>
      <w:r>
        <w:t xml:space="preserve">Расположен в добавленной ±5000bp регуляторной зоне (выше TSS, ген на минус-цепи), а не в теле гена</w:t>
      </w:r>
    </w:p>
    <w:p>
      <w:pPr>
        <w:pStyle w:val="Compact"/>
        <w:numPr>
          <w:ilvl w:val="0"/>
          <w:numId w:val="1003"/>
        </w:numPr>
      </w:pPr>
      <w:r>
        <w:t xml:space="preserve">DP аномально высокий: 1,064–2,212× при фоновой глубине региона 4–15×</w:t>
      </w:r>
    </w:p>
    <w:p>
      <w:pPr>
        <w:pStyle w:val="Compact"/>
        <w:numPr>
          <w:ilvl w:val="0"/>
          <w:numId w:val="1003"/>
        </w:numPr>
      </w:pPr>
      <w:r>
        <w:t xml:space="preserve">MQ снижен: 26–38 (норма 60), MQ0F до 0.276 (27% ридов с нулевым mapping quality)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UCSC RepeatMasker</w:t>
      </w:r>
      <w:r>
        <w:t xml:space="preserve">: 100% кластера (146/146 bp, подтверждено bedtools intersect) лежит внутри LINE-элемента</w:t>
      </w:r>
      <w:r>
        <w:t xml:space="preserve"> </w:t>
      </w:r>
      <w:r>
        <w:rPr>
          <w:b/>
          <w:bCs/>
        </w:rPr>
        <w:t xml:space="preserve">L1MC3</w:t>
      </w:r>
      <w:r>
        <w:t xml:space="preserve"> </w:t>
      </w:r>
      <w:r>
        <w:t xml:space="preserve">(chr6:5,844,811–5,845,111, score=877)</w:t>
      </w:r>
    </w:p>
    <w:p>
      <w:pPr>
        <w:pStyle w:val="Compact"/>
        <w:numPr>
          <w:ilvl w:val="0"/>
          <w:numId w:val="1003"/>
        </w:numPr>
      </w:pPr>
      <w:r>
        <w:t xml:space="preserve">Все 15 вариантов кластера теперь помечены</w:t>
      </w:r>
      <w:r>
        <w:t xml:space="preserve"> </w:t>
      </w:r>
      <w:r>
        <w:rPr>
          <w:rStyle w:val="VerbatimChar"/>
        </w:rPr>
        <w:t xml:space="preserve">FILTER=LowMQ</w:t>
      </w:r>
    </w:p>
    <w:bookmarkEnd w:id="13"/>
    <w:bookmarkStart w:id="14" w:name="Xfb5413de7b76d58a7de393588cfb43fa1fb0dc1"/>
    <w:p>
      <w:pPr>
        <w:pStyle w:val="Heading3"/>
      </w:pPr>
      <w:r>
        <w:t xml:space="preserve">4.2 Полиморфный SINE_Cf в интроне 17 GTF2I (vonHoldt et al.)</w:t>
      </w:r>
    </w:p>
    <w:p>
      <w:pPr>
        <w:pStyle w:val="Compact"/>
        <w:numPr>
          <w:ilvl w:val="0"/>
          <w:numId w:val="1004"/>
        </w:numPr>
      </w:pPr>
      <w:r>
        <w:t xml:space="preserve">Литературные координаты CFA6:5,753,797–5,753,983 уже в CanFam3.1, liftover не потребовался</w:t>
      </w:r>
    </w:p>
    <w:p>
      <w:pPr>
        <w:pStyle w:val="Compact"/>
        <w:numPr>
          <w:ilvl w:val="0"/>
          <w:numId w:val="1004"/>
        </w:numPr>
      </w:pPr>
      <w:r>
        <w:t xml:space="preserve">UCSC RepeatMasker подтверждает: тот же интервал =</w:t>
      </w:r>
      <w:r>
        <w:t xml:space="preserve"> </w:t>
      </w:r>
      <w:r>
        <w:rPr>
          <w:b/>
          <w:bCs/>
        </w:rPr>
        <w:t xml:space="preserve">SINEC_Cf</w:t>
      </w:r>
      <w:r>
        <w:t xml:space="preserve"> </w:t>
      </w:r>
      <w:r>
        <w:t xml:space="preserve">(SINE/tRNA-Lys, score=1686)</w:t>
      </w:r>
    </w:p>
    <w:p>
      <w:pPr>
        <w:pStyle w:val="Compact"/>
        <w:numPr>
          <w:ilvl w:val="0"/>
          <w:numId w:val="1004"/>
        </w:numPr>
      </w:pPr>
      <w:r>
        <w:t xml:space="preserve">Внутри самого элемента: 0 PASS-вариантов, но 5 сырых кандидатов — все</w:t>
      </w:r>
      <w:r>
        <w:t xml:space="preserve"> </w:t>
      </w:r>
      <w:r>
        <w:rPr>
          <w:rStyle w:val="VerbatimChar"/>
        </w:rPr>
        <w:t xml:space="preserve">LowMQ</w:t>
      </w:r>
      <w:r>
        <w:t xml:space="preserve"> </w:t>
      </w:r>
      <w:r>
        <w:t xml:space="preserve">(MQ=9–10!), глубина 16–66× при фоне 4–15×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Тот же паттерн мультимаппинг-артефакта, что и в п. 4.1</w:t>
      </w:r>
    </w:p>
    <w:p>
      <w:pPr>
        <w:pStyle w:val="FirstParagraph"/>
      </w:pPr>
      <w:r>
        <w:rPr>
          <w:b/>
          <w:bCs/>
        </w:rPr>
        <w:t xml:space="preserve">Вывод:</w:t>
      </w:r>
      <w:r>
        <w:t xml:space="preserve"> </w:t>
      </w:r>
      <w:r>
        <w:t xml:space="preserve">оба высококачественных на вид кластера — не биологический сигнал, а мультимаппинг-артефакт повторяющихся элементов (LINE/SINE). Рекомендуется исключать</w:t>
      </w:r>
      <w:r>
        <w:t xml:space="preserve"> </w:t>
      </w:r>
      <w:r>
        <w:rPr>
          <w:rStyle w:val="VerbatimChar"/>
        </w:rPr>
        <w:t xml:space="preserve">LowMQ</w:t>
      </w:r>
      <w:r>
        <w:t xml:space="preserve">-варианты из биологической интерпретации промоторных/интронных зон GTF2I.</w:t>
      </w:r>
    </w:p>
    <w:bookmarkEnd w:id="14"/>
    <w:bookmarkEnd w:id="15"/>
    <w:bookmarkStart w:id="16" w:name="X3d45d5c121912afd917c9e9a84fa230c46ed64a"/>
    <w:p>
      <w:pPr>
        <w:pStyle w:val="Heading2"/>
      </w:pPr>
      <w:r>
        <w:t xml:space="preserve">5. Private/shared варианты (PASS-VCF, 14,129 сайтов)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Private</w:t>
      </w:r>
      <w:r>
        <w:t xml:space="preserve"> </w:t>
      </w:r>
      <w:r>
        <w:t xml:space="preserve">(ровно 1 образец несёт ALT): 743 (5.3%)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Shared</w:t>
      </w:r>
      <w:r>
        <w:t xml:space="preserve"> </w:t>
      </w:r>
      <w:r>
        <w:t xml:space="preserve">(2+ образцов): 13,386 (94.7%)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Core</w:t>
      </w:r>
      <w:r>
        <w:t xml:space="preserve"> </w:t>
      </w:r>
      <w:r>
        <w:t xml:space="preserve">(все 10 образцов несут ALT): 1,284 сайтов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Образец</w:t>
            </w:r>
          </w:p>
        </w:tc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Shared</w:t>
            </w:r>
          </w:p>
        </w:tc>
        <w:tc>
          <w:tcPr/>
          <w:p>
            <w:pPr>
              <w:pStyle w:val="Compact"/>
            </w:pPr>
            <w:r>
              <w:t xml:space="preserve">Всего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SRR24040930</w:t>
            </w:r>
          </w:p>
        </w:tc>
        <w:tc>
          <w:tcPr/>
          <w:p>
            <w:pPr>
              <w:pStyle w:val="Compact"/>
            </w:pPr>
            <w:r>
              <w:t xml:space="preserve">108</w:t>
            </w:r>
          </w:p>
        </w:tc>
        <w:tc>
          <w:tcPr/>
          <w:p>
            <w:pPr>
              <w:pStyle w:val="Compact"/>
            </w:pPr>
            <w:r>
              <w:t xml:space="preserve">9,383</w:t>
            </w:r>
          </w:p>
        </w:tc>
        <w:tc>
          <w:tcPr/>
          <w:p>
            <w:pPr>
              <w:pStyle w:val="Compact"/>
            </w:pPr>
            <w:r>
              <w:t xml:space="preserve">9,491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SRR24040931</w:t>
            </w:r>
          </w:p>
        </w:tc>
        <w:tc>
          <w:tcPr/>
          <w:p>
            <w:pPr>
              <w:pStyle w:val="Compact"/>
            </w:pPr>
            <w:r>
              <w:t xml:space="preserve">125</w:t>
            </w:r>
          </w:p>
        </w:tc>
        <w:tc>
          <w:tcPr/>
          <w:p>
            <w:pPr>
              <w:pStyle w:val="Compact"/>
            </w:pPr>
            <w:r>
              <w:t xml:space="preserve">11,253</w:t>
            </w:r>
          </w:p>
        </w:tc>
        <w:tc>
          <w:tcPr/>
          <w:p>
            <w:pPr>
              <w:pStyle w:val="Compact"/>
            </w:pPr>
            <w:r>
              <w:t xml:space="preserve">11,378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SRR24040932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8,838</w:t>
            </w:r>
          </w:p>
        </w:tc>
        <w:tc>
          <w:tcPr/>
          <w:p>
            <w:pPr>
              <w:pStyle w:val="Compact"/>
            </w:pPr>
            <w:r>
              <w:t xml:space="preserve">8,893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SRR24040933</w:t>
            </w:r>
          </w:p>
        </w:tc>
        <w:tc>
          <w:tcPr/>
          <w:p>
            <w:pPr>
              <w:pStyle w:val="Compact"/>
            </w:pPr>
            <w:r>
              <w:t xml:space="preserve">71</w:t>
            </w:r>
          </w:p>
        </w:tc>
        <w:tc>
          <w:tcPr/>
          <w:p>
            <w:pPr>
              <w:pStyle w:val="Compact"/>
            </w:pPr>
            <w:r>
              <w:t xml:space="preserve">9,330</w:t>
            </w:r>
          </w:p>
        </w:tc>
        <w:tc>
          <w:tcPr/>
          <w:p>
            <w:pPr>
              <w:pStyle w:val="Compact"/>
            </w:pPr>
            <w:r>
              <w:t xml:space="preserve">9,401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SRR24040934</w:t>
            </w:r>
          </w:p>
        </w:tc>
        <w:tc>
          <w:tcPr/>
          <w:p>
            <w:pPr>
              <w:pStyle w:val="Compac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t xml:space="preserve">9,878</w:t>
            </w:r>
          </w:p>
        </w:tc>
        <w:tc>
          <w:tcPr/>
          <w:p>
            <w:pPr>
              <w:pStyle w:val="Compact"/>
            </w:pPr>
            <w:r>
              <w:t xml:space="preserve">9,941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SRR24067120</w:t>
            </w:r>
          </w:p>
        </w:tc>
        <w:tc>
          <w:tcPr/>
          <w:p>
            <w:pPr>
              <w:pStyle w:val="Compact"/>
            </w:pPr>
            <w:r>
              <w:t xml:space="preserve">77</w:t>
            </w:r>
          </w:p>
        </w:tc>
        <w:tc>
          <w:tcPr/>
          <w:p>
            <w:pPr>
              <w:pStyle w:val="Compact"/>
            </w:pPr>
            <w:r>
              <w:t xml:space="preserve">10,652</w:t>
            </w:r>
          </w:p>
        </w:tc>
        <w:tc>
          <w:tcPr/>
          <w:p>
            <w:pPr>
              <w:pStyle w:val="Compact"/>
            </w:pPr>
            <w:r>
              <w:t xml:space="preserve">10,729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SRR24067121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6,739</w:t>
            </w:r>
          </w:p>
        </w:tc>
        <w:tc>
          <w:tcPr/>
          <w:p>
            <w:pPr>
              <w:pStyle w:val="Compact"/>
            </w:pPr>
            <w:r>
              <w:t xml:space="preserve">6,768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SRR24067122</w:t>
            </w:r>
          </w:p>
        </w:tc>
        <w:tc>
          <w:tcPr/>
          <w:p>
            <w:pPr>
              <w:pStyle w:val="Compact"/>
            </w:pPr>
            <w:r>
              <w:t xml:space="preserve">96</w:t>
            </w:r>
          </w:p>
        </w:tc>
        <w:tc>
          <w:tcPr/>
          <w:p>
            <w:pPr>
              <w:pStyle w:val="Compact"/>
            </w:pPr>
            <w:r>
              <w:t xml:space="preserve">11,616</w:t>
            </w:r>
          </w:p>
        </w:tc>
        <w:tc>
          <w:tcPr/>
          <w:p>
            <w:pPr>
              <w:pStyle w:val="Compact"/>
            </w:pPr>
            <w:r>
              <w:t xml:space="preserve">11,712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SRR24067124</w:t>
            </w:r>
          </w:p>
        </w:tc>
        <w:tc>
          <w:tcPr/>
          <w:p>
            <w:pPr>
              <w:pStyle w:val="Compact"/>
            </w:pPr>
            <w:r>
              <w:t xml:space="preserve">73</w:t>
            </w:r>
          </w:p>
        </w:tc>
        <w:tc>
          <w:tcPr/>
          <w:p>
            <w:pPr>
              <w:pStyle w:val="Compact"/>
            </w:pPr>
            <w:r>
              <w:t xml:space="preserve">10,323</w:t>
            </w:r>
          </w:p>
        </w:tc>
        <w:tc>
          <w:tcPr/>
          <w:p>
            <w:pPr>
              <w:pStyle w:val="Compact"/>
            </w:pPr>
            <w:r>
              <w:t xml:space="preserve">10,396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SRR24067125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9,993</w:t>
            </w:r>
          </w:p>
        </w:tc>
        <w:tc>
          <w:tcPr/>
          <w:p>
            <w:pPr>
              <w:pStyle w:val="Compact"/>
            </w:pPr>
            <w:r>
              <w:t xml:space="preserve">10,039</w:t>
            </w:r>
          </w:p>
        </w:tc>
      </w:tr>
    </w:tbl>
    <w:p>
      <w:pPr>
        <w:pStyle w:val="BodyText"/>
      </w:pPr>
      <w:r>
        <w:t xml:space="preserve">Private/total коррелирует с глубиной покрытия образца (SRR24067122 и SRR24040931 — самые глубокие и с наибольшим числом private; SRR24067121 — самый мелкий и с наименьшим).</w:t>
      </w:r>
    </w:p>
    <w:bookmarkEnd w:id="16"/>
    <w:bookmarkStart w:id="20" w:name="dbsnp-ensembl-cross-species-snp-liftover"/>
    <w:p>
      <w:pPr>
        <w:pStyle w:val="Heading2"/>
      </w:pPr>
      <w:r>
        <w:t xml:space="preserve">6. dbSNP / Ensembl cross-species SNP liftover</w:t>
      </w:r>
    </w:p>
    <w:p>
      <w:pPr>
        <w:pStyle w:val="FirstParagraph"/>
      </w:pPr>
      <w:r>
        <w:t xml:space="preserve">Во всех трёх случаях</w:t>
      </w:r>
      <w:r>
        <w:t xml:space="preserve"> </w:t>
      </w:r>
      <w:r>
        <w:rPr>
          <w:b/>
          <w:bCs/>
        </w:rPr>
        <w:t xml:space="preserve">NCBI dbSNP вернул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Count=0</w:t>
      </w:r>
      <w:r>
        <w:t xml:space="preserve"> </w:t>
      </w:r>
      <w:r>
        <w:t xml:space="preserve">— у NCBI нет данных по собачьим SNP (они хранятся в EVA и доступны через Ensembl). Позиции получены методом seed-and-extend: k-мерный поиск фланкирующей последовательности из Ensembl (сборка ROS_Cfam_1.0) в нашем референсе (CanFam3.1), с проверкой диагональной консистентности якорей.</w:t>
      </w:r>
    </w:p>
    <w:bookmarkStart w:id="17" w:name="sorcs1-rs23402730"/>
    <w:p>
      <w:pPr>
        <w:pStyle w:val="Heading3"/>
      </w:pPr>
      <w:r>
        <w:t xml:space="preserve">6.1 SORCS1 — rs23402730</w:t>
      </w:r>
    </w:p>
    <w:p>
      <w:pPr>
        <w:pStyle w:val="Compact"/>
        <w:numPr>
          <w:ilvl w:val="0"/>
          <w:numId w:val="1006"/>
        </w:numPr>
      </w:pPr>
      <w:r>
        <w:t xml:space="preserve">Ensembl (ROS_Cfam_1.0): chr28:19,290,257 (T/C)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Liftover → NC_006610.3:18,801,488</w:t>
      </w:r>
      <w:r>
        <w:t xml:space="preserve"> </w:t>
      </w:r>
      <w:r>
        <w:t xml:space="preserve">(CanFam3.1). Верификация: референсная база CanFam3.1 (C) точно соответствует одному из аллелей T/C; выравнивание 196/201bp совпадений, без инделей.</w:t>
      </w:r>
    </w:p>
    <w:p>
      <w:pPr>
        <w:pStyle w:val="Compact"/>
        <w:numPr>
          <w:ilvl w:val="0"/>
          <w:numId w:val="1006"/>
        </w:numPr>
      </w:pPr>
      <w:r>
        <w:t xml:space="preserve">На самой позиции у фенека варианта нет (=референс)</w:t>
      </w:r>
    </w:p>
    <w:p>
      <w:pPr>
        <w:pStyle w:val="Compact"/>
        <w:numPr>
          <w:ilvl w:val="0"/>
          <w:numId w:val="1006"/>
        </w:numPr>
      </w:pPr>
      <w:r>
        <w:t xml:space="preserve">В окне ±1000bp: 47 PASS-вариантов, из них</w:t>
      </w:r>
      <w:r>
        <w:t xml:space="preserve"> </w:t>
      </w:r>
      <w:r>
        <w:rPr>
          <w:b/>
          <w:bCs/>
        </w:rPr>
        <w:t xml:space="preserve">2 core</w:t>
      </w:r>
      <w:r>
        <w:t xml:space="preserve"> </w:t>
      </w:r>
      <w:r>
        <w:t xml:space="preserve">(все 10 образцов, оба 1/1):</w:t>
      </w:r>
    </w:p>
    <w:p>
      <w:pPr>
        <w:pStyle w:val="Compact"/>
        <w:numPr>
          <w:ilvl w:val="1"/>
          <w:numId w:val="1007"/>
        </w:numPr>
      </w:pPr>
      <w:r>
        <w:t xml:space="preserve">18,801,443 A&gt;G (−45bp)</w:t>
      </w:r>
    </w:p>
    <w:p>
      <w:pPr>
        <w:pStyle w:val="Compact"/>
        <w:numPr>
          <w:ilvl w:val="1"/>
          <w:numId w:val="1007"/>
        </w:numPr>
      </w:pPr>
      <w:r>
        <w:t xml:space="preserve">18,801,691 C&gt;T (+203bp)</w:t>
      </w:r>
    </w:p>
    <w:bookmarkEnd w:id="17"/>
    <w:bookmarkStart w:id="18" w:name="Xec36ece985619ca3dbc2b2cfbc29d1849170ee8"/>
    <w:p>
      <w:pPr>
        <w:pStyle w:val="Heading3"/>
      </w:pPr>
      <w:r>
        <w:t xml:space="preserve">6.2 GTF2I — полиморфный SINE_Cf (vonHoldt et al.)</w:t>
      </w:r>
    </w:p>
    <w:p>
      <w:pPr>
        <w:pStyle w:val="FirstParagraph"/>
      </w:pPr>
      <w:r>
        <w:t xml:space="preserve">См. п. 4.2. В окне ±1000bp вокруг элемента (5,752,797–5,754,983):</w:t>
      </w:r>
      <w:r>
        <w:t xml:space="preserve"> </w:t>
      </w:r>
      <w:r>
        <w:rPr>
          <w:b/>
          <w:bCs/>
        </w:rPr>
        <w:t xml:space="preserve">7 core-сайтов</w:t>
      </w:r>
      <w:r>
        <w:t xml:space="preserve"> </w:t>
      </w:r>
      <w:r>
        <w:t xml:space="preserve">— 5,753,719 (−77bp), 5,754,268 (+285bp), 5,754,704 (+721bp), 5,754,731 (+748bp), 5,754,757 (+774bp), 5,754,959 (+976bp), 5,754,966 (+983bp).</w:t>
      </w:r>
    </w:p>
    <w:bookmarkEnd w:id="18"/>
    <w:bookmarkStart w:id="19" w:name="X7a68c9780846c6e872c93e818f4f5a31c34da85"/>
    <w:p>
      <w:pPr>
        <w:pStyle w:val="Heading3"/>
      </w:pPr>
      <w:r>
        <w:t xml:space="preserve">6.3 GTF2IRD1 — топ-3 функциональных SNP (Ensembl, evidence=Multiple_observations)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rs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ROS_Cfam_1.0</w:t>
            </w:r>
          </w:p>
        </w:tc>
        <w:tc>
          <w:tcPr/>
          <w:p>
            <w:pPr>
              <w:pStyle w:val="Compact"/>
            </w:pPr>
            <w:r>
              <w:t xml:space="preserve">→ CanFam3.1 (NC_006588.3)</w:t>
            </w:r>
          </w:p>
        </w:tc>
        <w:tc>
          <w:tcPr/>
          <w:p>
            <w:pPr>
              <w:pStyle w:val="Compact"/>
            </w:pPr>
            <w:r>
              <w:t xml:space="preserve">Core-сайтов ±1000bp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rs852723489</w:t>
            </w:r>
          </w:p>
        </w:tc>
        <w:tc>
          <w:tcPr/>
          <w:p>
            <w:pPr>
              <w:pStyle w:val="Compact"/>
            </w:pPr>
            <w:r>
              <w:t xml:space="preserve">stop_lost</w:t>
            </w:r>
          </w:p>
        </w:tc>
        <w:tc>
          <w:tcPr/>
          <w:p>
            <w:pPr>
              <w:pStyle w:val="Compact"/>
            </w:pPr>
            <w:r>
              <w:t xml:space="preserve">chr6:5,707,651</w:t>
            </w:r>
          </w:p>
        </w:tc>
        <w:tc>
          <w:tcPr/>
          <w:p>
            <w:pPr>
              <w:pStyle w:val="Compact"/>
            </w:pPr>
            <w:r>
              <w:t xml:space="preserve">5,891,352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rs3330210708</w:t>
            </w:r>
          </w:p>
        </w:tc>
        <w:tc>
          <w:tcPr/>
          <w:p>
            <w:pPr>
              <w:pStyle w:val="Compact"/>
            </w:pPr>
            <w:r>
              <w:t xml:space="preserve">missense</w:t>
            </w:r>
          </w:p>
        </w:tc>
        <w:tc>
          <w:tcPr/>
          <w:p>
            <w:pPr>
              <w:pStyle w:val="Compact"/>
            </w:pPr>
            <w:r>
              <w:t xml:space="preserve">chr6:5,747,887</w:t>
            </w:r>
          </w:p>
        </w:tc>
        <w:tc>
          <w:tcPr/>
          <w:p>
            <w:pPr>
              <w:pStyle w:val="Compact"/>
            </w:pPr>
            <w:r>
              <w:t xml:space="preserve">5,932,090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rs3330466812</w:t>
            </w:r>
          </w:p>
        </w:tc>
        <w:tc>
          <w:tcPr/>
          <w:p>
            <w:pPr>
              <w:pStyle w:val="Compact"/>
            </w:pPr>
            <w:r>
              <w:t xml:space="preserve">missense</w:t>
            </w:r>
          </w:p>
        </w:tc>
        <w:tc>
          <w:tcPr/>
          <w:p>
            <w:pPr>
              <w:pStyle w:val="Compact"/>
            </w:pPr>
            <w:r>
              <w:t xml:space="preserve">chr6:5,777,057</w:t>
            </w:r>
          </w:p>
        </w:tc>
        <w:tc>
          <w:tcPr/>
          <w:p>
            <w:pPr>
              <w:pStyle w:val="Compact"/>
            </w:pPr>
            <w:r>
              <w:t xml:space="preserve">5,961,224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</w:tr>
    </w:tbl>
    <w:p>
      <w:pPr>
        <w:pStyle w:val="BodyText"/>
      </w:pPr>
      <w:r>
        <w:t xml:space="preserve">Core-сайты вокруг rs3330466812:</w:t>
      </w:r>
      <w:r>
        <w:t xml:space="preserve"> </w:t>
      </w:r>
      <w:r>
        <w:t xml:space="preserve">- 5,961,383 CTGT&gt;CT (+159bp, indel, 9×1/1+1×0/1)</w:t>
      </w:r>
      <w:r>
        <w:t xml:space="preserve"> </w:t>
      </w:r>
      <w:r>
        <w:t xml:space="preserve">- 5,962,080 GTT&gt;GTTATT (+856bp, indel, все 1/1)</w:t>
      </w:r>
      <w:r>
        <w:t xml:space="preserve"> </w:t>
      </w:r>
      <w:r>
        <w:t xml:space="preserve">- 5,962,095 G&gt;A (+871bp, 9×1/1+1×0/1)</w:t>
      </w:r>
      <w:r>
        <w:t xml:space="preserve"> </w:t>
      </w:r>
      <w:r>
        <w:t xml:space="preserve">- 5,962,120 G&gt;A (+896bp, все 1/1)</w:t>
      </w:r>
    </w:p>
    <w:p>
      <w:pPr>
        <w:pStyle w:val="BodyText"/>
      </w:pPr>
      <w:r>
        <w:t xml:space="preserve">На самих трёх позициях SNP у фенека вариантов нет (=референс во всех случаях).</w:t>
      </w:r>
    </w:p>
    <w:bookmarkEnd w:id="19"/>
    <w:bookmarkEnd w:id="20"/>
    <w:bookmarkStart w:id="21" w:name="файлы"/>
    <w:p>
      <w:pPr>
        <w:pStyle w:val="Heading2"/>
      </w:pPr>
      <w:r>
        <w:t xml:space="preserve">Файлы</w:t>
      </w:r>
    </w:p>
    <w:p>
      <w:pPr>
        <w:pStyle w:val="SourceCode"/>
      </w:pPr>
      <w:r>
        <w:rPr>
          <w:rStyle w:val="VerbatimChar"/>
        </w:rPr>
        <w:t xml:space="preserve">variants/</w:t>
      </w:r>
      <w:r>
        <w:br/>
      </w:r>
      <w:r>
        <w:rPr>
          <w:rStyle w:val="VerbatimChar"/>
        </w:rPr>
        <w:t xml:space="preserve">├── candidate_regions.bed                    — 3 региона (SORCS1, GTF2I, GTF2IRD1) ±5000bp</w:t>
      </w:r>
      <w:r>
        <w:br/>
      </w:r>
      <w:r>
        <w:rPr>
          <w:rStyle w:val="VerbatimChar"/>
        </w:rPr>
        <w:t xml:space="preserve">├── candidate_regions.depth.txt               — samtools depth, все 10 образцов</w:t>
      </w:r>
      <w:r>
        <w:br/>
      </w:r>
      <w:r>
        <w:rPr>
          <w:rStyle w:val="VerbatimChar"/>
        </w:rPr>
        <w:t xml:space="preserve">├── fennec_candidate_regions.vcf               — итоговый VCF (все сайты, с FILTER=PASS/LowMQ)</w:t>
      </w:r>
      <w:r>
        <w:br/>
      </w:r>
      <w:r>
        <w:rPr>
          <w:rStyle w:val="VerbatimChar"/>
        </w:rPr>
        <w:t xml:space="preserve">├── fennec_candidate_regions.unfiltered.vcf    — бэкап до применения MQ&lt;40</w:t>
      </w:r>
      <w:r>
        <w:br/>
      </w:r>
      <w:r>
        <w:rPr>
          <w:rStyle w:val="VerbatimChar"/>
        </w:rPr>
        <w:t xml:space="preserve">├── fennec_candidate_regions.PASS.vcf          — только PASS-сайты</w:t>
      </w:r>
      <w:r>
        <w:br/>
      </w:r>
      <w:r>
        <w:rPr>
          <w:rStyle w:val="VerbatimChar"/>
        </w:rPr>
        <w:t xml:space="preserve">├── region_bams/                               — по 10 BAM, извлечённые только по регионам</w:t>
      </w:r>
      <w:r>
        <w:br/>
      </w:r>
      <w:r>
        <w:rPr>
          <w:rStyle w:val="VerbatimChar"/>
        </w:rPr>
        <w:t xml:space="preserve">├── annotation/canFam3_rmsk_GTF2I_cluster.bed  — RepeatMasker L1MC3 (UCSC)</w:t>
      </w:r>
      <w:r>
        <w:br/>
      </w:r>
      <w:r>
        <w:rPr>
          <w:rStyle w:val="VerbatimChar"/>
        </w:rPr>
        <w:t xml:space="preserve">└── findings_summary.md                        — этот файл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Fennec candidate-region analysis: SORCS1, GTF2I, GTF2IRD1</dc:title>
  <dc:creator/>
  <cp:keywords/>
  <dcterms:created xsi:type="dcterms:W3CDTF">2026-08-05T20:30:54Z</dcterms:created>
  <dcterms:modified xsi:type="dcterms:W3CDTF">2026-08-05T20:30:54Z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