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Calibri" w:cs="Calibri" w:eastAsia="Calibri" w:hAnsi="Calibri"/>
          <w:b/>
          <w:bCs/>
          <w:color w:val="1F3A5F"/>
          <w:sz w:val="72"/>
          <w:szCs w:val="72"/>
        </w:rPr>
        <w:t xml:space="preserve">NITUME</w:t>
      </w:r>
    </w:p>
    <w:p>
      <w:pPr>
        <w:spacing w:after="100" w:before="200"/>
        <w:jc w:val="center"/>
      </w:pPr>
      <w:r>
        <w:rPr>
          <w:rFonts w:ascii="Calibri" w:cs="Calibri" w:eastAsia="Calibri" w:hAnsi="Calibri"/>
          <w:i/>
          <w:iCs/>
          <w:color w:val="C9972A"/>
          <w:sz w:val="26"/>
          <w:szCs w:val="26"/>
        </w:rPr>
        <w:t xml:space="preserve">Someone there, when you can't be.</w:t>
      </w:r>
    </w:p>
    <w:p>
      <w:pPr>
        <w:spacing w:before="400"/>
        <w:jc w:val="center"/>
      </w:pPr>
      <w:r>
        <w:rPr>
          <w:rFonts w:ascii="Calibri" w:cs="Calibri" w:eastAsia="Calibri" w:hAnsi="Calibri"/>
          <w:color w:val="555555"/>
          <w:sz w:val="30"/>
          <w:szCs w:val="30"/>
        </w:rPr>
        <w:t xml:space="preserve">Business Plan</w:t>
      </w:r>
    </w:p>
    <w:p>
      <w:pPr>
        <w:spacing w:before="100"/>
        <w:jc w:val="center"/>
      </w:pPr>
      <w:r>
        <w:rPr>
          <w:rFonts w:ascii="Calibri" w:cs="Calibri" w:eastAsia="Calibri" w:hAnsi="Calibri"/>
          <w:color w:val="555555"/>
          <w:sz w:val="22"/>
          <w:szCs w:val="22"/>
        </w:rPr>
        <w:t xml:space="preserve">A Trust-First Task &amp; Physical-Presence Marketplace for Kenya</w:t>
      </w:r>
    </w:p>
    <w:p>
      <w:pPr>
        <w:spacing w:before="800"/>
        <w:jc w:val="center"/>
      </w:pPr>
      <w:r>
        <w:rPr>
          <w:rFonts w:ascii="Calibri" w:cs="Calibri" w:eastAsia="Calibri" w:hAnsi="Calibri"/>
          <w:color w:val="555555"/>
          <w:sz w:val="20"/>
          <w:szCs w:val="20"/>
        </w:rPr>
        <w:t xml:space="preserve">Prepared September 2026</w:t>
      </w:r>
    </w:p>
    <w:p>
      <w:r>
        <w:br w:type="page"/>
      </w:r>
    </w:p>
    <w:p>
      <w:pPr>
        <w:pStyle w:val="Heading1"/>
        <w:pBdr>
          <w:bottom w:val="single" w:color="1F3A5F" w:sz="6" w:space="4"/>
        </w:pBdr>
        <w:spacing w:after="160" w:before="360"/>
      </w:pPr>
      <w:r>
        <w:rPr>
          <w:rFonts w:ascii="Calibri" w:cs="Calibri" w:eastAsia="Calibri" w:hAnsi="Calibri"/>
          <w:b/>
          <w:bCs/>
          <w:color w:val="1F3A5F"/>
          <w:sz w:val="30"/>
          <w:szCs w:val="30"/>
        </w:rPr>
        <w:t xml:space="preserve">1. Executive Summary</w:t>
      </w:r>
    </w:p>
    <w:p>
      <w:pPr>
        <w:spacing w:after="140" w:line="276"/>
      </w:pPr>
      <w:r>
        <w:rPr>
          <w:rFonts w:ascii="Calibri" w:cs="Calibri" w:eastAsia="Calibri" w:hAnsi="Calibri"/>
          <w:sz w:val="21"/>
          <w:szCs w:val="21"/>
        </w:rPr>
        <w:t xml:space="preserve">Nitume is a trust-first marketplace that lets anyone in Kenya — or in the diaspora — hire a verified person to physically do something on their behalf: buy an item, inspect a property, queue at an office, collect documents, or simply "be their eyes" somewhere they cannot be. It is not positioned as a delivery app. It is positioned as trusted physical presence on demand.</w:t>
      </w:r>
    </w:p>
    <w:p>
      <w:pPr>
        <w:spacing w:after="140" w:line="276"/>
      </w:pPr>
      <w:r>
        <w:rPr>
          <w:rFonts w:ascii="Calibri" w:cs="Calibri" w:eastAsia="Calibri" w:hAnsi="Calibri"/>
          <w:sz w:val="21"/>
          <w:szCs w:val="21"/>
        </w:rPr>
        <w:t xml:space="preserve">The core insight behind Nitume is that the hard part of errands in Kenya is not logistics — it is trust. People already know how to find a boda rider or a shop assistant. What they lack is a safe way to hand a task, and sometimes money, to a stranger. Nitume solves this with verified "Runners", structured task categories, a documented evidence trail for every job, and a payment model that keeps Nitume out of the business of holding customers' purchase money.</w:t>
      </w:r>
    </w:p>
    <w:p>
      <w:pPr>
        <w:spacing w:after="140" w:line="276"/>
      </w:pPr>
      <w:r>
        <w:rPr>
          <w:rFonts w:ascii="Calibri" w:cs="Calibri" w:eastAsia="Calibri" w:hAnsi="Calibri"/>
          <w:sz w:val="21"/>
          <w:szCs w:val="21"/>
        </w:rPr>
        <w:t xml:space="preserve">The company will launch in Nairobi with a narrow set of task categories and a manually operated matching process, learn from real demand, then progressively automate matching, payments and reporting before expanding to Mombasa, Kisumu, Nakuru, Eldoret and Thika. The long-term opportunity is broader than individual errands: once Nitume has a large network of verified, rated Runners, it can offer that network as an on-demand field-operations API to businesses — property managers, e-commerce companies, banks and insurers that need physical verification, stock checks or document handling across many locations in Kenya.</w:t>
      </w:r>
    </w:p>
    <w:p>
      <w:pPr>
        <w:pStyle w:val="Heading2"/>
        <w:spacing w:after="120" w:before="260"/>
      </w:pPr>
      <w:r>
        <w:rPr>
          <w:rFonts w:ascii="Calibri" w:cs="Calibri" w:eastAsia="Calibri" w:hAnsi="Calibri"/>
          <w:b/>
          <w:bCs/>
          <w:color w:val="1F3A5F"/>
          <w:sz w:val="24"/>
          <w:szCs w:val="24"/>
        </w:rPr>
        <w:t xml:space="preserve">Vision</w:t>
      </w:r>
    </w:p>
    <w:p>
      <w:pPr>
        <w:spacing w:after="140" w:line="276"/>
      </w:pPr>
      <w:r>
        <w:rPr>
          <w:rFonts w:ascii="Calibri" w:cs="Calibri" w:eastAsia="Calibri" w:hAnsi="Calibri"/>
          <w:sz w:val="21"/>
          <w:szCs w:val="21"/>
        </w:rPr>
        <w:t xml:space="preserve">To become Kenya's trusted physical task network — the default way individuals and businesses get something done in a location they cannot personally reach.</w:t>
      </w:r>
    </w:p>
    <w:p>
      <w:pPr>
        <w:pStyle w:val="Heading2"/>
        <w:spacing w:after="120" w:before="260"/>
      </w:pPr>
      <w:r>
        <w:rPr>
          <w:rFonts w:ascii="Calibri" w:cs="Calibri" w:eastAsia="Calibri" w:hAnsi="Calibri"/>
          <w:b/>
          <w:bCs/>
          <w:color w:val="1F3A5F"/>
          <w:sz w:val="24"/>
          <w:szCs w:val="24"/>
        </w:rPr>
        <w:t xml:space="preserve">Mission</w:t>
      </w:r>
    </w:p>
    <w:p>
      <w:pPr>
        <w:spacing w:after="140" w:line="276"/>
      </w:pPr>
      <w:r>
        <w:rPr>
          <w:rFonts w:ascii="Calibri" w:cs="Calibri" w:eastAsia="Calibri" w:hAnsi="Calibri"/>
          <w:sz w:val="21"/>
          <w:szCs w:val="21"/>
        </w:rPr>
        <w:t xml:space="preserve">Give every customer a verified, accountable person to represent them for a task, backed by evidence and clear payment controls, so that "I don't know who to trust with this" is never the reason a task doesn't get done.</w:t>
      </w:r>
    </w:p>
    <w:p>
      <w:pPr>
        <w:pStyle w:val="Heading1"/>
        <w:pBdr>
          <w:bottom w:val="single" w:color="1F3A5F" w:sz="6" w:space="4"/>
        </w:pBdr>
        <w:spacing w:after="160" w:before="360"/>
      </w:pPr>
      <w:r>
        <w:rPr>
          <w:rFonts w:ascii="Calibri" w:cs="Calibri" w:eastAsia="Calibri" w:hAnsi="Calibri"/>
          <w:b/>
          <w:bCs/>
          <w:color w:val="1F3A5F"/>
          <w:sz w:val="30"/>
          <w:szCs w:val="30"/>
        </w:rPr>
        <w:t xml:space="preserve">2. The Problem</w:t>
      </w:r>
    </w:p>
    <w:p>
      <w:pPr>
        <w:spacing w:after="140" w:line="276"/>
      </w:pPr>
      <w:r>
        <w:rPr>
          <w:rFonts w:ascii="Calibri" w:cs="Calibri" w:eastAsia="Calibri" w:hAnsi="Calibri"/>
          <w:sz w:val="21"/>
          <w:szCs w:val="21"/>
        </w:rPr>
        <w:t xml:space="preserve">Nitume addresses three related problems that existing courier and delivery apps do not solve well:</w:t>
      </w:r>
    </w:p>
    <w:p>
      <w:pPr>
        <w:spacing w:after="80" w:before="180"/>
      </w:pPr>
      <w:r>
        <w:rPr>
          <w:rFonts w:ascii="Calibri" w:cs="Calibri" w:eastAsia="Calibri" w:hAnsi="Calibri"/>
          <w:b/>
          <w:bCs/>
          <w:color w:val="C9972A"/>
          <w:sz w:val="22"/>
          <w:szCs w:val="22"/>
        </w:rPr>
        <w:t xml:space="preserve">2.1 Time</w:t>
      </w:r>
    </w:p>
    <w:p>
      <w:pPr>
        <w:spacing w:after="140" w:line="276"/>
      </w:pPr>
      <w:r>
        <w:rPr>
          <w:rFonts w:ascii="Calibri" w:cs="Calibri" w:eastAsia="Calibri" w:hAnsi="Calibri"/>
          <w:sz w:val="21"/>
          <w:szCs w:val="21"/>
        </w:rPr>
        <w:t xml:space="preserve">Busy professionals, parents and business owners have tasks that need doing during the day but no time to do them personally.</w:t>
      </w:r>
    </w:p>
    <w:p>
      <w:pPr>
        <w:spacing w:after="80" w:before="180"/>
      </w:pPr>
      <w:r>
        <w:rPr>
          <w:rFonts w:ascii="Calibri" w:cs="Calibri" w:eastAsia="Calibri" w:hAnsi="Calibri"/>
          <w:b/>
          <w:bCs/>
          <w:color w:val="C9972A"/>
          <w:sz w:val="22"/>
          <w:szCs w:val="22"/>
        </w:rPr>
        <w:t xml:space="preserve">2.2 Distance</w:t>
      </w:r>
    </w:p>
    <w:p>
      <w:pPr>
        <w:spacing w:after="140" w:line="276"/>
      </w:pPr>
      <w:r>
        <w:rPr>
          <w:rFonts w:ascii="Calibri" w:cs="Calibri" w:eastAsia="Calibri" w:hAnsi="Calibri"/>
          <w:sz w:val="21"/>
          <w:szCs w:val="21"/>
        </w:rPr>
        <w:t xml:space="preserve">People are frequently not where the task needs to happen — across town, in another Kenyan city, or abroad in the diaspora — and need someone physically present on their behalf.</w:t>
      </w:r>
    </w:p>
    <w:p>
      <w:pPr>
        <w:spacing w:after="80" w:before="180"/>
      </w:pPr>
      <w:r>
        <w:rPr>
          <w:rFonts w:ascii="Calibri" w:cs="Calibri" w:eastAsia="Calibri" w:hAnsi="Calibri"/>
          <w:b/>
          <w:bCs/>
          <w:color w:val="C9972A"/>
          <w:sz w:val="22"/>
          <w:szCs w:val="22"/>
        </w:rPr>
        <w:t xml:space="preserve">2.3 Trust</w:t>
      </w:r>
    </w:p>
    <w:p>
      <w:pPr>
        <w:spacing w:after="140" w:line="276"/>
      </w:pPr>
      <w:r>
        <w:rPr>
          <w:rFonts w:ascii="Calibri" w:cs="Calibri" w:eastAsia="Calibri" w:hAnsi="Calibri"/>
          <w:sz w:val="21"/>
          <w:szCs w:val="21"/>
        </w:rPr>
        <w:t xml:space="preserve">This is the real barrier. Handing a stranger money to make a purchase, or asking them to represent you at a property viewing or an office, feels risky without verification, a track record, and proof that the job was actually done as instructed.</w:t>
      </w:r>
    </w:p>
    <w:p>
      <w:pPr>
        <w:spacing w:after="140" w:line="276"/>
      </w:pPr>
      <w:r>
        <w:rPr>
          <w:rFonts w:ascii="Calibri" w:cs="Calibri" w:eastAsia="Calibri" w:hAnsi="Calibri"/>
          <w:sz w:val="21"/>
          <w:szCs w:val="21"/>
        </w:rPr>
        <w:t xml:space="preserve">Generic runner and courier marketplaces already exist in Kenya — including Nairobi Errands KE, Round The City Errands, Errands with Maina, and online platforms such as Errunned, Tumame, Thoonjo and Fimbo. Several already advertise verified runners, tracking and proof of completion. Nitume's differentiation cannot be "errands exist" — it must be doing verification, accountability and remote presence noticeably better, with a payment model that is simpler and safer for everyone involved.</w:t>
      </w:r>
    </w:p>
    <w:p>
      <w:pPr>
        <w:pStyle w:val="Heading1"/>
        <w:pBdr>
          <w:bottom w:val="single" w:color="1F3A5F" w:sz="6" w:space="4"/>
        </w:pBdr>
        <w:spacing w:after="160" w:before="360"/>
      </w:pPr>
      <w:r>
        <w:rPr>
          <w:rFonts w:ascii="Calibri" w:cs="Calibri" w:eastAsia="Calibri" w:hAnsi="Calibri"/>
          <w:b/>
          <w:bCs/>
          <w:color w:val="1F3A5F"/>
          <w:sz w:val="30"/>
          <w:szCs w:val="30"/>
        </w:rPr>
        <w:t xml:space="preserve">3. The Solution: What Nitume Does</w:t>
      </w:r>
    </w:p>
    <w:p>
      <w:pPr>
        <w:spacing w:after="140" w:line="276"/>
      </w:pPr>
      <w:r>
        <w:rPr>
          <w:rFonts w:ascii="Calibri" w:cs="Calibri" w:eastAsia="Calibri" w:hAnsi="Calibri"/>
          <w:sz w:val="21"/>
          <w:szCs w:val="21"/>
        </w:rPr>
        <w:t xml:space="preserve">Nitume lets a customer describe a task, get it priced, and have it carried out by a verified Runner — with a timestamped evidence trail and clear payment separation between the platform's service fee, the Runner's compensation, and any money that must go to a merchant.</w:t>
      </w:r>
    </w:p>
    <w:p>
      <w:pPr>
        <w:spacing w:after="140" w:line="276"/>
      </w:pPr>
      <w:r>
        <w:rPr>
          <w:rFonts w:ascii="Calibri" w:cs="Calibri" w:eastAsia="Calibri" w:hAnsi="Calibri"/>
          <w:sz w:val="21"/>
          <w:szCs w:val="21"/>
        </w:rPr>
        <w:t xml:space="preserve">Example requests Nitume is built to handle:</w:t>
      </w:r>
    </w:p>
    <w:p>
      <w:pPr>
        <w:pStyle w:val="ListParagraph"/>
        <w:numPr>
          <w:ilvl w:val="0"/>
          <w:numId w:val="2"/>
        </w:numPr>
        <w:spacing w:after="80" w:line="270"/>
      </w:pPr>
      <w:r>
        <w:rPr>
          <w:rFonts w:ascii="Calibri" w:cs="Calibri" w:eastAsia="Calibri" w:hAnsi="Calibri"/>
          <w:sz w:val="21"/>
          <w:szCs w:val="21"/>
        </w:rPr>
        <w:t xml:space="preserve">“Go to Sarit Centre, collect my shoes, confirm they're size 42, pay KSh 4,500, and deliver them to Kilimani.”</w:t>
      </w:r>
    </w:p>
    <w:p>
      <w:pPr>
        <w:pStyle w:val="ListParagraph"/>
        <w:numPr>
          <w:ilvl w:val="0"/>
          <w:numId w:val="2"/>
        </w:numPr>
        <w:spacing w:after="80" w:line="270"/>
      </w:pPr>
      <w:r>
        <w:rPr>
          <w:rFonts w:ascii="Calibri" w:cs="Calibri" w:eastAsia="Calibri" w:hAnsi="Calibri"/>
          <w:sz w:val="21"/>
          <w:szCs w:val="21"/>
        </w:rPr>
        <w:t xml:space="preserve">“I'm in Mombasa — go inspect this apartment in Nyali and video the compound, bedrooms and bathrooms.”</w:t>
      </w:r>
    </w:p>
    <w:p>
      <w:pPr>
        <w:pStyle w:val="ListParagraph"/>
        <w:numPr>
          <w:ilvl w:val="0"/>
          <w:numId w:val="2"/>
        </w:numPr>
        <w:spacing w:after="80" w:line="270"/>
      </w:pPr>
      <w:r>
        <w:rPr>
          <w:rFonts w:ascii="Calibri" w:cs="Calibri" w:eastAsia="Calibri" w:hAnsi="Calibri"/>
          <w:sz w:val="21"/>
          <w:szCs w:val="21"/>
        </w:rPr>
        <w:t xml:space="preserve">“I'm outside Kenya — go to this property in Nairobi and confirm whether construction is actually happening.”</w:t>
      </w:r>
    </w:p>
    <w:p>
      <w:pPr>
        <w:pStyle w:val="ListParagraph"/>
        <w:numPr>
          <w:ilvl w:val="0"/>
          <w:numId w:val="2"/>
        </w:numPr>
        <w:spacing w:after="80" w:line="270"/>
      </w:pPr>
      <w:r>
        <w:rPr>
          <w:rFonts w:ascii="Calibri" w:cs="Calibri" w:eastAsia="Calibri" w:hAnsi="Calibri"/>
          <w:sz w:val="21"/>
          <w:szCs w:val="21"/>
        </w:rPr>
        <w:t xml:space="preserve">“Queue at NTSA for me.”</w:t>
      </w:r>
    </w:p>
    <w:p>
      <w:pPr>
        <w:pStyle w:val="ListParagraph"/>
        <w:numPr>
          <w:ilvl w:val="0"/>
          <w:numId w:val="2"/>
        </w:numPr>
        <w:spacing w:after="80" w:line="270"/>
      </w:pPr>
      <w:r>
        <w:rPr>
          <w:rFonts w:ascii="Calibri" w:cs="Calibri" w:eastAsia="Calibri" w:hAnsi="Calibri"/>
          <w:sz w:val="21"/>
          <w:szCs w:val="21"/>
        </w:rPr>
        <w:t xml:space="preserve">“Buy these five items from Carrefour and deliver them to my house.”</w:t>
      </w:r>
    </w:p>
    <w:p>
      <w:pPr>
        <w:pStyle w:val="ListParagraph"/>
        <w:numPr>
          <w:ilvl w:val="0"/>
          <w:numId w:val="2"/>
        </w:numPr>
        <w:spacing w:after="80" w:line="270"/>
      </w:pPr>
      <w:r>
        <w:rPr>
          <w:rFonts w:ascii="Calibri" w:cs="Calibri" w:eastAsia="Calibri" w:hAnsi="Calibri"/>
          <w:sz w:val="21"/>
          <w:szCs w:val="21"/>
        </w:rPr>
        <w:t xml:space="preserve">“Take these documents to my lawyer.”</w:t>
      </w:r>
    </w:p>
    <w:p>
      <w:pPr>
        <w:pStyle w:val="Heading2"/>
        <w:spacing w:after="120" w:before="260"/>
      </w:pPr>
      <w:r>
        <w:rPr>
          <w:rFonts w:ascii="Calibri" w:cs="Calibri" w:eastAsia="Calibri" w:hAnsi="Calibri"/>
          <w:b/>
          <w:bCs/>
          <w:color w:val="1F3A5F"/>
          <w:sz w:val="24"/>
          <w:szCs w:val="24"/>
        </w:rPr>
        <w:t xml:space="preserve">3.1 Service Categories</w:t>
      </w:r>
    </w:p>
    <w:p>
      <w:pPr>
        <w:spacing w:after="140" w:line="276"/>
      </w:pPr>
      <w:r>
        <w:rPr>
          <w:rFonts w:ascii="Calibri" w:cs="Calibri" w:eastAsia="Calibri" w:hAnsi="Calibri"/>
          <w:sz w:val="21"/>
          <w:szCs w:val="21"/>
        </w:rPr>
        <w:t xml:space="preserve">Nitume launches with clearly defined categories rather than an open-ended “anything goes” request box, to keep operations and legal exposure manageable: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200"/>
      </w:tblGrid>
      <w:tr>
        <w:trPr>
          <w:tblHeader/>
        </w:trPr>
        <w:tc>
          <w:tcPr>
            <w:tcW w:type="dxa" w:w="2400"/>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Category</w:t>
            </w:r>
          </w:p>
        </w:tc>
        <w:tc>
          <w:tcPr>
            <w:tcW w:type="dxa" w:w="4200"/>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What it covers</w:t>
            </w:r>
          </w:p>
        </w:tc>
        <w:tc>
          <w:tcPr>
            <w:tcW w:type="dxa" w:w="3200"/>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Example</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0"/>
                <w:szCs w:val="20"/>
              </w:rPr>
              <w:t xml:space="preserve">Buy For Me</w:t>
            </w:r>
          </w:p>
        </w:tc>
        <w:tc>
          <w:tcPr>
            <w:tcW w:type="dxa" w:w="4200"/>
            <w:tcMar>
              <w:top w:type="dxa" w:w="80"/>
              <w:left w:type="dxa" w:w="120"/>
              <w:bottom w:type="dxa" w:w="80"/>
              <w:right w:type="dxa" w:w="120"/>
            </w:tcMar>
          </w:tcPr>
          <w:p>
            <w:r>
              <w:rPr>
                <w:rFonts w:ascii="Calibri" w:cs="Calibri" w:eastAsia="Calibri" w:hAnsi="Calibri"/>
                <w:b w:val="false"/>
                <w:bCs w:val="false"/>
                <w:color w:val="000000"/>
                <w:sz w:val="20"/>
                <w:szCs w:val="20"/>
              </w:rPr>
              <w:t xml:space="preserve">Runner purchases an item on the customer's behalf and provides receipt + photo proof.</w:t>
            </w:r>
          </w:p>
        </w:tc>
        <w:tc>
          <w:tcPr>
            <w:tcW w:type="dxa" w:w="3200"/>
            <w:tcMar>
              <w:top w:type="dxa" w:w="80"/>
              <w:left w:type="dxa" w:w="120"/>
              <w:bottom w:type="dxa" w:w="80"/>
              <w:right w:type="dxa" w:w="120"/>
            </w:tcMar>
          </w:tcPr>
          <w:p>
            <w:r>
              <w:rPr>
                <w:rFonts w:ascii="Calibri" w:cs="Calibri" w:eastAsia="Calibri" w:hAnsi="Calibri"/>
                <w:b w:val="false"/>
                <w:bCs w:val="false"/>
                <w:color w:val="000000"/>
                <w:sz w:val="20"/>
                <w:szCs w:val="20"/>
              </w:rPr>
              <w:t xml:space="preserve">Groceries, clothing, electronics, gifts, spare parts, construction materials.</w:t>
            </w:r>
          </w:p>
        </w:tc>
      </w:tr>
      <w:tr>
        <w:tc>
          <w:tcPr>
            <w:tcW w:type="dxa" w:w="24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Get It For Me
(Pickup &amp; Delivery)</w:t>
            </w:r>
          </w:p>
        </w:tc>
        <w:tc>
          <w:tcPr>
            <w:tcW w:type="dxa" w:w="42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Collecting and delivering items, parcels or documents between two points.</w:t>
            </w:r>
          </w:p>
        </w:tc>
        <w:tc>
          <w:tcPr>
            <w:tcW w:type="dxa" w:w="32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Parcel pickup, dry-cleaning collection, document handoff, cake pickup.</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0"/>
                <w:szCs w:val="20"/>
              </w:rPr>
              <w:t xml:space="preserve">Check It For Me
(Inspection)</w:t>
            </w:r>
          </w:p>
        </w:tc>
        <w:tc>
          <w:tcPr>
            <w:tcW w:type="dxa" w:w="4200"/>
            <w:tcMar>
              <w:top w:type="dxa" w:w="80"/>
              <w:left w:type="dxa" w:w="120"/>
              <w:bottom w:type="dxa" w:w="80"/>
              <w:right w:type="dxa" w:w="120"/>
            </w:tcMar>
          </w:tcPr>
          <w:p>
            <w:r>
              <w:rPr>
                <w:rFonts w:ascii="Calibri" w:cs="Calibri" w:eastAsia="Calibri" w:hAnsi="Calibri"/>
                <w:b w:val="false"/>
                <w:bCs w:val="false"/>
                <w:color w:val="000000"/>
                <w:sz w:val="20"/>
                <w:szCs w:val="20"/>
              </w:rPr>
              <w:t xml:space="preserve">Runner visits a location and returns photos, video, a checklist and a written report.</w:t>
            </w:r>
          </w:p>
        </w:tc>
        <w:tc>
          <w:tcPr>
            <w:tcW w:type="dxa" w:w="3200"/>
            <w:tcMar>
              <w:top w:type="dxa" w:w="80"/>
              <w:left w:type="dxa" w:w="120"/>
              <w:bottom w:type="dxa" w:w="80"/>
              <w:right w:type="dxa" w:w="120"/>
            </w:tcMar>
          </w:tcPr>
          <w:p>
            <w:r>
              <w:rPr>
                <w:rFonts w:ascii="Calibri" w:cs="Calibri" w:eastAsia="Calibri" w:hAnsi="Calibri"/>
                <w:b w:val="false"/>
                <w:bCs w:val="false"/>
                <w:color w:val="000000"/>
                <w:sz w:val="20"/>
                <w:szCs w:val="20"/>
              </w:rPr>
              <w:t xml:space="preserve">Apartment inspection, vehicle inspection, shop/stock verification, Airbnb check.</w:t>
            </w:r>
          </w:p>
        </w:tc>
      </w:tr>
      <w:tr>
        <w:tc>
          <w:tcPr>
            <w:tcW w:type="dxa" w:w="24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Go There For Me
(Representation)</w:t>
            </w:r>
          </w:p>
        </w:tc>
        <w:tc>
          <w:tcPr>
            <w:tcW w:type="dxa" w:w="42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Runner physically represents the customer at a viewing, meeting or handover.</w:t>
            </w:r>
          </w:p>
        </w:tc>
        <w:tc>
          <w:tcPr>
            <w:tcW w:type="dxa" w:w="32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Attend a property viewing, meet a supplier, collect signed documents.</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0"/>
                <w:szCs w:val="20"/>
              </w:rPr>
              <w:t xml:space="preserve">Wait For Me
(Queues &amp; Admin)</w:t>
            </w:r>
          </w:p>
        </w:tc>
        <w:tc>
          <w:tcPr>
            <w:tcW w:type="dxa" w:w="4200"/>
            <w:tcMar>
              <w:top w:type="dxa" w:w="80"/>
              <w:left w:type="dxa" w:w="120"/>
              <w:bottom w:type="dxa" w:w="80"/>
              <w:right w:type="dxa" w:w="120"/>
            </w:tcMar>
          </w:tcPr>
          <w:p>
            <w:r>
              <w:rPr>
                <w:rFonts w:ascii="Calibri" w:cs="Calibri" w:eastAsia="Calibri" w:hAnsi="Calibri"/>
                <w:b w:val="false"/>
                <w:bCs w:val="false"/>
                <w:color w:val="000000"/>
                <w:sz w:val="20"/>
                <w:szCs w:val="20"/>
              </w:rPr>
              <w:t xml:space="preserve">Runner handles a queue-based or administrative task where representation is legally permitted.</w:t>
            </w:r>
          </w:p>
        </w:tc>
        <w:tc>
          <w:tcPr>
            <w:tcW w:type="dxa" w:w="3200"/>
            <w:tcMar>
              <w:top w:type="dxa" w:w="80"/>
              <w:left w:type="dxa" w:w="120"/>
              <w:bottom w:type="dxa" w:w="80"/>
              <w:right w:type="dxa" w:w="120"/>
            </w:tcMar>
          </w:tcPr>
          <w:p>
            <w:r>
              <w:rPr>
                <w:rFonts w:ascii="Calibri" w:cs="Calibri" w:eastAsia="Calibri" w:hAnsi="Calibri"/>
                <w:b w:val="false"/>
                <w:bCs w:val="false"/>
                <w:color w:val="000000"/>
                <w:sz w:val="20"/>
                <w:szCs w:val="20"/>
              </w:rPr>
              <w:t xml:space="preserve">Document collection, office submissions — no impersonation or ID bypass.</w:t>
            </w:r>
          </w:p>
        </w:tc>
      </w:tr>
      <w:tr>
        <w:tc>
          <w:tcPr>
            <w:tcW w:type="dxa" w:w="24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Business Tasks</w:t>
            </w:r>
          </w:p>
        </w:tc>
        <w:tc>
          <w:tcPr>
            <w:tcW w:type="dxa" w:w="42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Recurring or bulk field tasks for companies, priced and reported at scale.</w:t>
            </w:r>
          </w:p>
        </w:tc>
        <w:tc>
          <w:tcPr>
            <w:tcW w:type="dxa" w:w="32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Branding checks across 20 shops, address verification, customer visits.</w:t>
            </w:r>
          </w:p>
        </w:tc>
      </w:tr>
    </w:tbl>
    <w:p>
      <w:pPr>
        <w:spacing w:after="140" w:line="276"/>
      </w:pPr>
      <w:r>
        <w:rPr>
          <w:rFonts w:ascii="Calibri" w:cs="Calibri" w:eastAsia="Calibri" w:hAnsi="Calibri"/>
          <w:sz w:val="21"/>
          <w:szCs w:val="21"/>
        </w:rPr>
        <w:t xml:space="preserve">Nitume explicitly does not offer, and its terms of service will prohibit, tasks that require impersonation, bypass required identity verification, involve bribery, or otherwise require the customer to appear in person by law.</w:t>
      </w:r>
    </w:p>
    <w:p>
      <w:pPr>
        <w:pStyle w:val="Heading2"/>
        <w:spacing w:after="120" w:before="260"/>
      </w:pPr>
      <w:r>
        <w:rPr>
          <w:rFonts w:ascii="Calibri" w:cs="Calibri" w:eastAsia="Calibri" w:hAnsi="Calibri"/>
          <w:b/>
          <w:bCs/>
          <w:color w:val="1F3A5F"/>
          <w:sz w:val="24"/>
          <w:szCs w:val="24"/>
        </w:rPr>
        <w:t xml:space="preserve">3.2 What Makes It “Trust-First”</w:t>
      </w:r>
    </w:p>
    <w:p>
      <w:pPr>
        <w:pStyle w:val="ListParagraph"/>
        <w:numPr>
          <w:ilvl w:val="0"/>
          <w:numId w:val="2"/>
        </w:numPr>
        <w:spacing w:after="80" w:line="270"/>
      </w:pPr>
      <w:r>
        <w:rPr>
          <w:rFonts w:ascii="Calibri" w:cs="Calibri" w:eastAsia="Calibri" w:hAnsi="Calibri"/>
          <w:sz w:val="21"/>
          <w:szCs w:val="21"/>
        </w:rPr>
        <w:t xml:space="preserve">Every Runner is verified before taking paid tasks (see Section 5).</w:t>
      </w:r>
    </w:p>
    <w:p>
      <w:pPr>
        <w:pStyle w:val="ListParagraph"/>
        <w:numPr>
          <w:ilvl w:val="0"/>
          <w:numId w:val="2"/>
        </w:numPr>
        <w:spacing w:after="80" w:line="270"/>
      </w:pPr>
      <w:r>
        <w:rPr>
          <w:rFonts w:ascii="Calibri" w:cs="Calibri" w:eastAsia="Calibri" w:hAnsi="Calibri"/>
          <w:sz w:val="21"/>
          <w:szCs w:val="21"/>
        </w:rPr>
        <w:t xml:space="preserve">Every task produces an auditable timeline of photos, GPS, timestamps and receipts (see Section 7).</w:t>
      </w:r>
    </w:p>
    <w:p>
      <w:pPr>
        <w:pStyle w:val="ListParagraph"/>
        <w:numPr>
          <w:ilvl w:val="0"/>
          <w:numId w:val="2"/>
        </w:numPr>
        <w:spacing w:after="80" w:line="270"/>
      </w:pPr>
      <w:r>
        <w:rPr>
          <w:rFonts w:ascii="Calibri" w:cs="Calibri" w:eastAsia="Calibri" w:hAnsi="Calibri"/>
          <w:sz w:val="21"/>
          <w:szCs w:val="21"/>
        </w:rPr>
        <w:t xml:space="preserve">The platform is not the custodian of customers' purchase money by default (see Section 6).</w:t>
      </w:r>
    </w:p>
    <w:p>
      <w:pPr>
        <w:pStyle w:val="ListParagraph"/>
        <w:numPr>
          <w:ilvl w:val="0"/>
          <w:numId w:val="2"/>
        </w:numPr>
        <w:spacing w:after="80" w:line="270"/>
      </w:pPr>
      <w:r>
        <w:rPr>
          <w:rFonts w:ascii="Calibri" w:cs="Calibri" w:eastAsia="Calibri" w:hAnsi="Calibri"/>
          <w:sz w:val="21"/>
          <w:szCs w:val="21"/>
        </w:rPr>
        <w:t xml:space="preserve">Customers approve price changes and can dispute outcomes against recorded evidence, not “he-said-she-said.”</w:t>
      </w:r>
    </w:p>
    <w:p>
      <w:pPr>
        <w:pStyle w:val="Heading1"/>
        <w:pBdr>
          <w:bottom w:val="single" w:color="1F3A5F" w:sz="6" w:space="4"/>
        </w:pBdr>
        <w:spacing w:after="160" w:before="360"/>
      </w:pPr>
      <w:r>
        <w:rPr>
          <w:rFonts w:ascii="Calibri" w:cs="Calibri" w:eastAsia="Calibri" w:hAnsi="Calibri"/>
          <w:b/>
          <w:bCs/>
          <w:color w:val="1F3A5F"/>
          <w:sz w:val="30"/>
          <w:szCs w:val="30"/>
        </w:rPr>
        <w:t xml:space="preserve">4. Target Market</w:t>
      </w:r>
    </w:p>
    <w:p>
      <w:pPr>
        <w:pStyle w:val="Heading2"/>
        <w:spacing w:after="120" w:before="260"/>
      </w:pPr>
      <w:r>
        <w:rPr>
          <w:rFonts w:ascii="Calibri" w:cs="Calibri" w:eastAsia="Calibri" w:hAnsi="Calibri"/>
          <w:b/>
          <w:bCs/>
          <w:color w:val="1F3A5F"/>
          <w:sz w:val="24"/>
          <w:szCs w:val="24"/>
        </w:rPr>
        <w:t xml:space="preserve">4.1 Customer Segments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000"/>
      </w:tblGrid>
      <w:tr>
        <w:trPr>
          <w:tblHeader/>
        </w:trPr>
        <w:tc>
          <w:tcPr>
            <w:tcW w:type="dxa" w:w="2600"/>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Segment</w:t>
            </w:r>
          </w:p>
        </w:tc>
        <w:tc>
          <w:tcPr>
            <w:tcW w:type="dxa" w:w="4200"/>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Core need</w:t>
            </w:r>
          </w:p>
        </w:tc>
        <w:tc>
          <w:tcPr>
            <w:tcW w:type="dxa" w:w="3000"/>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Why Nitume</w:t>
            </w:r>
          </w:p>
        </w:tc>
      </w:tr>
      <w:tr>
        <w:tc>
          <w:tcPr>
            <w:tcW w:type="dxa" w:w="2600"/>
            <w:tcMar>
              <w:top w:type="dxa" w:w="80"/>
              <w:left w:type="dxa" w:w="120"/>
              <w:bottom w:type="dxa" w:w="80"/>
              <w:right w:type="dxa" w:w="120"/>
            </w:tcMar>
          </w:tcPr>
          <w:p>
            <w:r>
              <w:rPr>
                <w:rFonts w:ascii="Calibri" w:cs="Calibri" w:eastAsia="Calibri" w:hAnsi="Calibri"/>
                <w:b w:val="false"/>
                <w:bCs w:val="false"/>
                <w:color w:val="000000"/>
                <w:sz w:val="20"/>
                <w:szCs w:val="20"/>
              </w:rPr>
              <w:t xml:space="preserve">Busy urban professionals</w:t>
            </w:r>
          </w:p>
        </w:tc>
        <w:tc>
          <w:tcPr>
            <w:tcW w:type="dxa" w:w="4200"/>
            <w:tcMar>
              <w:top w:type="dxa" w:w="80"/>
              <w:left w:type="dxa" w:w="120"/>
              <w:bottom w:type="dxa" w:w="80"/>
              <w:right w:type="dxa" w:w="120"/>
            </w:tcMar>
          </w:tcPr>
          <w:p>
            <w:r>
              <w:rPr>
                <w:rFonts w:ascii="Calibri" w:cs="Calibri" w:eastAsia="Calibri" w:hAnsi="Calibri"/>
                <w:b w:val="false"/>
                <w:bCs w:val="false"/>
                <w:color w:val="000000"/>
                <w:sz w:val="20"/>
                <w:szCs w:val="20"/>
              </w:rPr>
              <w:t xml:space="preserve">Money but no time for errands, queues, shopping trips.</w:t>
            </w:r>
          </w:p>
        </w:tc>
        <w:tc>
          <w:tcPr>
            <w:tcW w:type="dxa" w:w="3000"/>
            <w:tcMar>
              <w:top w:type="dxa" w:w="80"/>
              <w:left w:type="dxa" w:w="120"/>
              <w:bottom w:type="dxa" w:w="80"/>
              <w:right w:type="dxa" w:w="120"/>
            </w:tcMar>
          </w:tcPr>
          <w:p>
            <w:r>
              <w:rPr>
                <w:rFonts w:ascii="Calibri" w:cs="Calibri" w:eastAsia="Calibri" w:hAnsi="Calibri"/>
                <w:b w:val="false"/>
                <w:bCs w:val="false"/>
                <w:color w:val="000000"/>
                <w:sz w:val="20"/>
                <w:szCs w:val="20"/>
              </w:rPr>
              <w:t xml:space="preserve">Fast, verified, one task at a time or recurring.</w:t>
            </w:r>
          </w:p>
        </w:tc>
      </w:tr>
      <w:tr>
        <w:tc>
          <w:tcPr>
            <w:tcW w:type="dxa" w:w="26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Kenyan diaspora</w:t>
            </w:r>
          </w:p>
        </w:tc>
        <w:tc>
          <w:tcPr>
            <w:tcW w:type="dxa" w:w="42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 trusted local presence for property, family and admin matters back home.</w:t>
            </w:r>
          </w:p>
        </w:tc>
        <w:tc>
          <w:tcPr>
            <w:tcW w:type="dxa" w:w="30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“Someone I can trust in Kenya” instead of relying on relatives.</w:t>
            </w:r>
          </w:p>
        </w:tc>
      </w:tr>
      <w:tr>
        <w:tc>
          <w:tcPr>
            <w:tcW w:type="dxa" w:w="2600"/>
            <w:tcMar>
              <w:top w:type="dxa" w:w="80"/>
              <w:left w:type="dxa" w:w="120"/>
              <w:bottom w:type="dxa" w:w="80"/>
              <w:right w:type="dxa" w:w="120"/>
            </w:tcMar>
          </w:tcPr>
          <w:p>
            <w:r>
              <w:rPr>
                <w:rFonts w:ascii="Calibri" w:cs="Calibri" w:eastAsia="Calibri" w:hAnsi="Calibri"/>
                <w:b w:val="false"/>
                <w:bCs w:val="false"/>
                <w:color w:val="000000"/>
                <w:sz w:val="20"/>
                <w:szCs w:val="20"/>
              </w:rPr>
              <w:t xml:space="preserve">SMEs &amp; corporates</w:t>
            </w:r>
          </w:p>
        </w:tc>
        <w:tc>
          <w:tcPr>
            <w:tcW w:type="dxa" w:w="4200"/>
            <w:tcMar>
              <w:top w:type="dxa" w:w="80"/>
              <w:left w:type="dxa" w:w="120"/>
              <w:bottom w:type="dxa" w:w="80"/>
              <w:right w:type="dxa" w:w="120"/>
            </w:tcMar>
          </w:tcPr>
          <w:p>
            <w:r>
              <w:rPr>
                <w:rFonts w:ascii="Calibri" w:cs="Calibri" w:eastAsia="Calibri" w:hAnsi="Calibri"/>
                <w:b w:val="false"/>
                <w:bCs w:val="false"/>
                <w:color w:val="000000"/>
                <w:sz w:val="20"/>
                <w:szCs w:val="20"/>
              </w:rPr>
              <w:t xml:space="preserve">Distributed field tasks — inspections, stock checks, document runs — without hiring staff.</w:t>
            </w:r>
          </w:p>
        </w:tc>
        <w:tc>
          <w:tcPr>
            <w:tcW w:type="dxa" w:w="3000"/>
            <w:tcMar>
              <w:top w:type="dxa" w:w="80"/>
              <w:left w:type="dxa" w:w="120"/>
              <w:bottom w:type="dxa" w:w="80"/>
              <w:right w:type="dxa" w:w="120"/>
            </w:tcMar>
          </w:tcPr>
          <w:p>
            <w:r>
              <w:rPr>
                <w:rFonts w:ascii="Calibri" w:cs="Calibri" w:eastAsia="Calibri" w:hAnsi="Calibri"/>
                <w:b w:val="false"/>
                <w:bCs w:val="false"/>
                <w:color w:val="000000"/>
                <w:sz w:val="20"/>
                <w:szCs w:val="20"/>
              </w:rPr>
              <w:t xml:space="preserve">Pay-per-task or subscription outsourced field operations.</w:t>
            </w:r>
          </w:p>
        </w:tc>
      </w:tr>
      <w:tr>
        <w:tc>
          <w:tcPr>
            <w:tcW w:type="dxa" w:w="26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Elderly / mobility-constrained</w:t>
            </w:r>
          </w:p>
        </w:tc>
        <w:tc>
          <w:tcPr>
            <w:tcW w:type="dxa" w:w="42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Physical tasks that are hard to do personally.</w:t>
            </w:r>
          </w:p>
        </w:tc>
        <w:tc>
          <w:tcPr>
            <w:tcW w:type="dxa" w:w="30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Reliable, rated, repeatable help.</w:t>
            </w:r>
          </w:p>
        </w:tc>
      </w:tr>
    </w:tbl>
    <w:p>
      <w:pPr>
        <w:spacing w:after="140" w:line="276"/>
      </w:pPr>
      <w:r>
        <w:rPr>
          <w:rFonts w:ascii="Calibri" w:cs="Calibri" w:eastAsia="Calibri" w:hAnsi="Calibri"/>
          <w:sz w:val="21"/>
          <w:szCs w:val="21"/>
        </w:rPr>
        <w:t xml:space="preserve">Of these, the diaspora segment and the SME/corporate segment are likely to be the most attractive over time: diaspora customers have high willingness to pay for trust and typically need recurring services (property checks, rent collection support, family errands), while businesses can generate high-volume, recurring, higher-margin demand — effectively turning Nitume into an outsourced field-operations department.</w:t>
      </w:r>
    </w:p>
    <w:p>
      <w:pPr>
        <w:pStyle w:val="Heading2"/>
        <w:spacing w:after="120" w:before="260"/>
      </w:pPr>
      <w:r>
        <w:rPr>
          <w:rFonts w:ascii="Calibri" w:cs="Calibri" w:eastAsia="Calibri" w:hAnsi="Calibri"/>
          <w:b/>
          <w:bCs/>
          <w:color w:val="1F3A5F"/>
          <w:sz w:val="24"/>
          <w:szCs w:val="24"/>
        </w:rPr>
        <w:t xml:space="preserve">4.2 Geographic Rollout</w:t>
      </w:r>
    </w:p>
    <w:p>
      <w:pPr>
        <w:spacing w:after="140" w:line="276"/>
      </w:pPr>
      <w:r>
        <w:rPr>
          <w:rFonts w:ascii="Calibri" w:cs="Calibri" w:eastAsia="Calibri" w:hAnsi="Calibri"/>
          <w:sz w:val="21"/>
          <w:szCs w:val="21"/>
        </w:rPr>
        <w:t xml:space="preserve">Nitume will not launch nationwide. It starts dense, then expands where demand justifies it.</w:t>
      </w:r>
    </w:p>
    <w:p>
      <w:pPr>
        <w:spacing w:after="80" w:before="180"/>
      </w:pPr>
      <w:r>
        <w:rPr>
          <w:rFonts w:ascii="Calibri" w:cs="Calibri" w:eastAsia="Calibri" w:hAnsi="Calibri"/>
          <w:b/>
          <w:bCs/>
          <w:color w:val="C9972A"/>
          <w:sz w:val="22"/>
          <w:szCs w:val="22"/>
        </w:rPr>
        <w:t xml:space="preserve">Phase 1 — Nairobi</w:t>
      </w:r>
    </w:p>
    <w:p>
      <w:pPr>
        <w:spacing w:after="140" w:line="276"/>
      </w:pPr>
      <w:r>
        <w:rPr>
          <w:rFonts w:ascii="Calibri" w:cs="Calibri" w:eastAsia="Calibri" w:hAnsi="Calibri"/>
          <w:sz w:val="21"/>
          <w:szCs w:val="21"/>
        </w:rPr>
        <w:t xml:space="preserve">CBD, Westlands, Kilimani, Lavington, Kileleshwa, Parklands, Karen, Upper Hill, with South B/C and Embakasi added as Runner supply grows.</w:t>
      </w:r>
    </w:p>
    <w:p>
      <w:pPr>
        <w:spacing w:after="80" w:before="180"/>
      </w:pPr>
      <w:r>
        <w:rPr>
          <w:rFonts w:ascii="Calibri" w:cs="Calibri" w:eastAsia="Calibri" w:hAnsi="Calibri"/>
          <w:b/>
          <w:bCs/>
          <w:color w:val="C9972A"/>
          <w:sz w:val="22"/>
          <w:szCs w:val="22"/>
        </w:rPr>
        <w:t xml:space="preserve">Phase 2 — Other major towns</w:t>
      </w:r>
    </w:p>
    <w:p>
      <w:pPr>
        <w:spacing w:after="140" w:line="276"/>
      </w:pPr>
      <w:r>
        <w:rPr>
          <w:rFonts w:ascii="Calibri" w:cs="Calibri" w:eastAsia="Calibri" w:hAnsi="Calibri"/>
          <w:sz w:val="21"/>
          <w:szCs w:val="21"/>
        </w:rPr>
        <w:t xml:space="preserve">Mombasa, Kisumu, Nakuru, Eldoret and Thika, in that order, based on observed demand and available Runner supply.</w:t>
      </w:r>
    </w:p>
    <w:p>
      <w:pPr>
        <w:pStyle w:val="Heading1"/>
        <w:pBdr>
          <w:bottom w:val="single" w:color="1F3A5F" w:sz="6" w:space="4"/>
        </w:pBdr>
        <w:spacing w:after="160" w:before="360"/>
      </w:pPr>
      <w:r>
        <w:rPr>
          <w:rFonts w:ascii="Calibri" w:cs="Calibri" w:eastAsia="Calibri" w:hAnsi="Calibri"/>
          <w:b/>
          <w:bCs/>
          <w:color w:val="1F3A5F"/>
          <w:sz w:val="30"/>
          <w:szCs w:val="30"/>
        </w:rPr>
        <w:t xml:space="preserve">5. The Runner Network &amp; Trust System</w:t>
      </w:r>
    </w:p>
    <w:p>
      <w:pPr>
        <w:spacing w:after="140" w:line="276"/>
      </w:pPr>
      <w:r>
        <w:rPr>
          <w:rFonts w:ascii="Calibri" w:cs="Calibri" w:eastAsia="Calibri" w:hAnsi="Calibri"/>
          <w:sz w:val="21"/>
          <w:szCs w:val="21"/>
        </w:rPr>
        <w:t xml:space="preserve">The Runner network — not the app, the pricing or the UI — is Nitume's real moat. Anyone can copy a screen design; nobody can instantly copy a network of thousands of verified, rated Runners with a completion history.</w:t>
      </w:r>
    </w:p>
    <w:p>
      <w:pPr>
        <w:pStyle w:val="Heading2"/>
        <w:spacing w:after="120" w:before="260"/>
      </w:pPr>
      <w:r>
        <w:rPr>
          <w:rFonts w:ascii="Calibri" w:cs="Calibri" w:eastAsia="Calibri" w:hAnsi="Calibri"/>
          <w:b/>
          <w:bCs/>
          <w:color w:val="1F3A5F"/>
          <w:sz w:val="24"/>
          <w:szCs w:val="24"/>
        </w:rPr>
        <w:t xml:space="preserve">5.1 Verification Levels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400"/>
      </w:tblGrid>
      <w:tr>
        <w:trPr>
          <w:tblHeader/>
        </w:trPr>
        <w:tc>
          <w:tcPr>
            <w:tcW w:type="dxa" w:w="1800"/>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Level</w:t>
            </w:r>
          </w:p>
        </w:tc>
        <w:tc>
          <w:tcPr>
            <w:tcW w:type="dxa" w:w="4600"/>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Requirements</w:t>
            </w:r>
          </w:p>
        </w:tc>
        <w:tc>
          <w:tcPr>
            <w:tcW w:type="dxa" w:w="3400"/>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Unlocks</w:t>
            </w:r>
          </w:p>
        </w:tc>
      </w:tr>
      <w:tr>
        <w:tc>
          <w:tcPr>
            <w:tcW w:type="dxa" w:w="1800"/>
            <w:tcMar>
              <w:top w:type="dxa" w:w="80"/>
              <w:left w:type="dxa" w:w="120"/>
              <w:bottom w:type="dxa" w:w="80"/>
              <w:right w:type="dxa" w:w="120"/>
            </w:tcMar>
          </w:tcPr>
          <w:p>
            <w:r>
              <w:rPr>
                <w:rFonts w:ascii="Calibri" w:cs="Calibri" w:eastAsia="Calibri" w:hAnsi="Calibri"/>
                <w:b w:val="false"/>
                <w:bCs w:val="false"/>
                <w:color w:val="000000"/>
                <w:sz w:val="20"/>
                <w:szCs w:val="20"/>
              </w:rPr>
              <w:t xml:space="preserve">1 — Basic</w:t>
            </w:r>
          </w:p>
        </w:tc>
        <w:tc>
          <w:tcPr>
            <w:tcW w:type="dxa" w:w="4600"/>
            <w:tcMar>
              <w:top w:type="dxa" w:w="80"/>
              <w:left w:type="dxa" w:w="120"/>
              <w:bottom w:type="dxa" w:w="80"/>
              <w:right w:type="dxa" w:w="120"/>
            </w:tcMar>
          </w:tcPr>
          <w:p>
            <w:r>
              <w:rPr>
                <w:rFonts w:ascii="Calibri" w:cs="Calibri" w:eastAsia="Calibri" w:hAnsi="Calibri"/>
                <w:b w:val="false"/>
                <w:bCs w:val="false"/>
                <w:color w:val="000000"/>
                <w:sz w:val="20"/>
                <w:szCs w:val="20"/>
              </w:rPr>
              <w:t xml:space="preserve">Phone and email verified, M-Pesa identity verified, profile complete.</w:t>
            </w:r>
          </w:p>
        </w:tc>
        <w:tc>
          <w:tcPr>
            <w:tcW w:type="dxa" w:w="3400"/>
            <w:tcMar>
              <w:top w:type="dxa" w:w="80"/>
              <w:left w:type="dxa" w:w="120"/>
              <w:bottom w:type="dxa" w:w="80"/>
              <w:right w:type="dxa" w:w="120"/>
            </w:tcMar>
          </w:tcPr>
          <w:p>
            <w:r>
              <w:rPr>
                <w:rFonts w:ascii="Calibri" w:cs="Calibri" w:eastAsia="Calibri" w:hAnsi="Calibri"/>
                <w:b w:val="false"/>
                <w:bCs w:val="false"/>
                <w:color w:val="000000"/>
                <w:sz w:val="20"/>
                <w:szCs w:val="20"/>
              </w:rPr>
              <w:t xml:space="preserve">Low-value pickup/delivery tasks only.</w:t>
            </w:r>
          </w:p>
        </w:tc>
      </w:tr>
      <w:tr>
        <w:tc>
          <w:tcPr>
            <w:tcW w:type="dxa" w:w="18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2 — Identity Verified</w:t>
            </w:r>
          </w:p>
        </w:tc>
        <w:tc>
          <w:tcPr>
            <w:tcW w:type="dxa" w:w="46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Government ID verification, selfie/liveness check.</w:t>
            </w:r>
          </w:p>
        </w:tc>
        <w:tc>
          <w:tcPr>
            <w:tcW w:type="dxa" w:w="34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Shopping tasks, small purchase advances.</w:t>
            </w:r>
          </w:p>
        </w:tc>
      </w:tr>
      <w:tr>
        <w:tc>
          <w:tcPr>
            <w:tcW w:type="dxa" w:w="1800"/>
            <w:tcMar>
              <w:top w:type="dxa" w:w="80"/>
              <w:left w:type="dxa" w:w="120"/>
              <w:bottom w:type="dxa" w:w="80"/>
              <w:right w:type="dxa" w:w="120"/>
            </w:tcMar>
          </w:tcPr>
          <w:p>
            <w:r>
              <w:rPr>
                <w:rFonts w:ascii="Calibri" w:cs="Calibri" w:eastAsia="Calibri" w:hAnsi="Calibri"/>
                <w:b w:val="false"/>
                <w:bCs w:val="false"/>
                <w:color w:val="000000"/>
                <w:sz w:val="20"/>
                <w:szCs w:val="20"/>
              </w:rPr>
              <w:t xml:space="preserve">3 — Trusted</w:t>
            </w:r>
          </w:p>
        </w:tc>
        <w:tc>
          <w:tcPr>
            <w:tcW w:type="dxa" w:w="4600"/>
            <w:tcMar>
              <w:top w:type="dxa" w:w="80"/>
              <w:left w:type="dxa" w:w="120"/>
              <w:bottom w:type="dxa" w:w="80"/>
              <w:right w:type="dxa" w:w="120"/>
            </w:tcMar>
          </w:tcPr>
          <w:p>
            <w:r>
              <w:rPr>
                <w:rFonts w:ascii="Calibri" w:cs="Calibri" w:eastAsia="Calibri" w:hAnsi="Calibri"/>
                <w:b w:val="false"/>
                <w:bCs w:val="false"/>
                <w:color w:val="000000"/>
                <w:sz w:val="20"/>
                <w:szCs w:val="20"/>
              </w:rPr>
              <w:t xml:space="preserve">20+ completed errands, strong ratings, low cancellation rate, no unresolved complaints.</w:t>
            </w:r>
          </w:p>
        </w:tc>
        <w:tc>
          <w:tcPr>
            <w:tcW w:type="dxa" w:w="3400"/>
            <w:tcMar>
              <w:top w:type="dxa" w:w="80"/>
              <w:left w:type="dxa" w:w="120"/>
              <w:bottom w:type="dxa" w:w="80"/>
              <w:right w:type="dxa" w:w="120"/>
            </w:tcMar>
          </w:tcPr>
          <w:p>
            <w:r>
              <w:rPr>
                <w:rFonts w:ascii="Calibri" w:cs="Calibri" w:eastAsia="Calibri" w:hAnsi="Calibri"/>
                <w:b w:val="false"/>
                <w:bCs w:val="false"/>
                <w:color w:val="000000"/>
                <w:sz w:val="20"/>
                <w:szCs w:val="20"/>
              </w:rPr>
              <w:t xml:space="preserve">Higher purchase-advance limits, inspection tasks.</w:t>
            </w:r>
          </w:p>
        </w:tc>
      </w:tr>
      <w:tr>
        <w:tc>
          <w:tcPr>
            <w:tcW w:type="dxa" w:w="18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4 — Professional</w:t>
            </w:r>
          </w:p>
        </w:tc>
        <w:tc>
          <w:tcPr>
            <w:tcW w:type="dxa" w:w="46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References and relevant experience for specialised tasks; business verification where applicable.</w:t>
            </w:r>
          </w:p>
        </w:tc>
        <w:tc>
          <w:tcPr>
            <w:tcW w:type="dxa" w:w="34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Representation tasks, business/enterprise assignments.</w:t>
            </w:r>
          </w:p>
        </w:tc>
      </w:tr>
    </w:tbl>
    <w:p>
      <w:pPr>
        <w:pStyle w:val="Heading2"/>
        <w:spacing w:after="120" w:before="260"/>
      </w:pPr>
      <w:r>
        <w:rPr>
          <w:rFonts w:ascii="Calibri" w:cs="Calibri" w:eastAsia="Calibri" w:hAnsi="Calibri"/>
          <w:b/>
          <w:bCs/>
          <w:color w:val="1F3A5F"/>
          <w:sz w:val="24"/>
          <w:szCs w:val="24"/>
        </w:rPr>
        <w:t xml:space="preserve">5.2 Runner Trust Profile</w:t>
      </w:r>
    </w:p>
    <w:p>
      <w:pPr>
        <w:spacing w:after="140" w:line="276"/>
      </w:pPr>
      <w:r>
        <w:rPr>
          <w:rFonts w:ascii="Calibri" w:cs="Calibri" w:eastAsia="Calibri" w:hAnsi="Calibri"/>
          <w:sz w:val="21"/>
          <w:szCs w:val="21"/>
        </w:rPr>
        <w:t xml:space="preserve">Every Runner has a public profile summarising reliability, not just a star rating:</w:t>
      </w:r>
    </w:p>
    <w:p>
      <w:pPr>
        <w:pStyle w:val="ListParagraph"/>
        <w:numPr>
          <w:ilvl w:val="0"/>
          <w:numId w:val="2"/>
        </w:numPr>
        <w:spacing w:after="80" w:line="270"/>
      </w:pPr>
      <w:r>
        <w:rPr>
          <w:rFonts w:ascii="Calibri" w:cs="Calibri" w:eastAsia="Calibri" w:hAnsi="Calibri"/>
          <w:sz w:val="21"/>
          <w:szCs w:val="21"/>
        </w:rPr>
        <w:t xml:space="preserve">Completion rate, on-time rate and cancellation rate</w:t>
      </w:r>
    </w:p>
    <w:p>
      <w:pPr>
        <w:pStyle w:val="ListParagraph"/>
        <w:numPr>
          <w:ilvl w:val="0"/>
          <w:numId w:val="2"/>
        </w:numPr>
        <w:spacing w:after="80" w:line="270"/>
      </w:pPr>
      <w:r>
        <w:rPr>
          <w:rFonts w:ascii="Calibri" w:cs="Calibri" w:eastAsia="Calibri" w:hAnsi="Calibri"/>
          <w:sz w:val="21"/>
          <w:szCs w:val="21"/>
        </w:rPr>
        <w:t xml:space="preserve">Number of errands completed and customer rating</w:t>
      </w:r>
    </w:p>
    <w:p>
      <w:pPr>
        <w:pStyle w:val="ListParagraph"/>
        <w:numPr>
          <w:ilvl w:val="0"/>
          <w:numId w:val="2"/>
        </w:numPr>
        <w:spacing w:after="80" w:line="270"/>
      </w:pPr>
      <w:r>
        <w:rPr>
          <w:rFonts w:ascii="Calibri" w:cs="Calibri" w:eastAsia="Calibri" w:hAnsi="Calibri"/>
          <w:sz w:val="21"/>
          <w:szCs w:val="21"/>
        </w:rPr>
        <w:t xml:space="preserve">Verified skills (Shopping, Inspections, Documents, Property visits, etc.)</w:t>
      </w:r>
    </w:p>
    <w:p>
      <w:pPr>
        <w:pStyle w:val="ListParagraph"/>
        <w:numPr>
          <w:ilvl w:val="0"/>
          <w:numId w:val="2"/>
        </w:numPr>
        <w:spacing w:after="80" w:line="270"/>
      </w:pPr>
      <w:r>
        <w:rPr>
          <w:rFonts w:ascii="Calibri" w:cs="Calibri" w:eastAsia="Calibri" w:hAnsi="Calibri"/>
          <w:sz w:val="21"/>
          <w:szCs w:val="21"/>
        </w:rPr>
        <w:t xml:space="preserve">Service areas covered</w:t>
      </w:r>
    </w:p>
    <w:p>
      <w:pPr>
        <w:pStyle w:val="ListParagraph"/>
        <w:numPr>
          <w:ilvl w:val="0"/>
          <w:numId w:val="2"/>
        </w:numPr>
        <w:spacing w:after="80" w:line="270"/>
      </w:pPr>
      <w:r>
        <w:rPr>
          <w:rFonts w:ascii="Calibri" w:cs="Calibri" w:eastAsia="Calibri" w:hAnsi="Calibri"/>
          <w:sz w:val="21"/>
          <w:szCs w:val="21"/>
        </w:rPr>
        <w:t xml:space="preserve">Number of unresolved disputes</w:t>
      </w:r>
    </w:p>
    <w:p>
      <w:pPr>
        <w:spacing w:after="140" w:line="276"/>
      </w:pPr>
      <w:r>
        <w:rPr>
          <w:rFonts w:ascii="Calibri" w:cs="Calibri" w:eastAsia="Calibri" w:hAnsi="Calibri"/>
          <w:sz w:val="21"/>
          <w:szCs w:val="21"/>
        </w:rPr>
        <w:t xml:space="preserve">Nitume will avoid exposing unnecessary personal information to customers while still making reliability visible and comparable.</w:t>
      </w:r>
    </w:p>
    <w:p>
      <w:pPr>
        <w:pStyle w:val="Heading2"/>
        <w:spacing w:after="120" w:before="260"/>
      </w:pPr>
      <w:r>
        <w:rPr>
          <w:rFonts w:ascii="Calibri" w:cs="Calibri" w:eastAsia="Calibri" w:hAnsi="Calibri"/>
          <w:b/>
          <w:bCs/>
          <w:color w:val="1F3A5F"/>
          <w:sz w:val="24"/>
          <w:szCs w:val="24"/>
        </w:rPr>
        <w:t xml:space="preserve">5.3 Runner Safety</w:t>
      </w:r>
    </w:p>
    <w:p>
      <w:pPr>
        <w:spacing w:after="140" w:line="276"/>
      </w:pPr>
      <w:r>
        <w:rPr>
          <w:rFonts w:ascii="Calibri" w:cs="Calibri" w:eastAsia="Calibri" w:hAnsi="Calibri"/>
          <w:sz w:val="21"/>
          <w:szCs w:val="21"/>
        </w:rPr>
        <w:t xml:space="preserve">Trust runs both ways. The platform will flag suspicious or unusually high-value tasks, restrict prohibited goods, monitor unusual payment patterns and repeated cancellations, and allow Runners to decline a task without penalty if it violates platform rules or feels unsafe.</w:t>
      </w:r>
    </w:p>
    <w:p>
      <w:pPr>
        <w:pStyle w:val="Heading1"/>
        <w:pBdr>
          <w:bottom w:val="single" w:color="1F3A5F" w:sz="6" w:space="4"/>
        </w:pBdr>
        <w:spacing w:after="160" w:before="360"/>
      </w:pPr>
      <w:r>
        <w:rPr>
          <w:rFonts w:ascii="Calibri" w:cs="Calibri" w:eastAsia="Calibri" w:hAnsi="Calibri"/>
          <w:b/>
          <w:bCs/>
          <w:color w:val="1F3A5F"/>
          <w:sz w:val="30"/>
          <w:szCs w:val="30"/>
        </w:rPr>
        <w:t xml:space="preserve">6. Payment Architecture</w:t>
      </w:r>
    </w:p>
    <w:p>
      <w:pPr>
        <w:spacing w:after="140" w:line="276"/>
      </w:pPr>
      <w:r>
        <w:rPr>
          <w:rFonts w:ascii="Calibri" w:cs="Calibri" w:eastAsia="Calibri" w:hAnsi="Calibri"/>
          <w:sz w:val="21"/>
          <w:szCs w:val="21"/>
        </w:rPr>
        <w:t xml:space="preserve">A deliberate design decision: Nitume does not routinely hold customers' purchase money. Doing so would create custodial risk, reconciliation complexity, refund exposure and potentially additional regulatory obligations. Instead, Nitume separates every transaction into three independent flows.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000"/>
      </w:tblGrid>
      <w:tr>
        <w:trPr>
          <w:tblHeader/>
        </w:trPr>
        <w:tc>
          <w:tcPr>
            <w:tcW w:type="dxa" w:w="2200"/>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Flow</w:t>
            </w:r>
          </w:p>
        </w:tc>
        <w:tc>
          <w:tcPr>
            <w:tcW w:type="dxa" w:w="3600"/>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Who pays whom</w:t>
            </w:r>
          </w:p>
        </w:tc>
        <w:tc>
          <w:tcPr>
            <w:tcW w:type="dxa" w:w="4000"/>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What it covers</w:t>
            </w:r>
          </w:p>
        </w:tc>
      </w:tr>
      <w:tr>
        <w:tc>
          <w:tcPr>
            <w:tcW w:type="dxa" w:w="2200"/>
            <w:tcMar>
              <w:top w:type="dxa" w:w="80"/>
              <w:left w:type="dxa" w:w="120"/>
              <w:bottom w:type="dxa" w:w="80"/>
              <w:right w:type="dxa" w:w="120"/>
            </w:tcMar>
          </w:tcPr>
          <w:p>
            <w:r>
              <w:rPr>
                <w:rFonts w:ascii="Calibri" w:cs="Calibri" w:eastAsia="Calibri" w:hAnsi="Calibri"/>
                <w:b w:val="false"/>
                <w:bCs w:val="false"/>
                <w:color w:val="000000"/>
                <w:sz w:val="20"/>
                <w:szCs w:val="20"/>
              </w:rPr>
              <w:t xml:space="preserve">Service fee</w:t>
            </w:r>
          </w:p>
        </w:tc>
        <w:tc>
          <w:tcPr>
            <w:tcW w:type="dxa" w:w="3600"/>
            <w:tcMar>
              <w:top w:type="dxa" w:w="80"/>
              <w:left w:type="dxa" w:w="120"/>
              <w:bottom w:type="dxa" w:w="80"/>
              <w:right w:type="dxa" w:w="120"/>
            </w:tcMar>
          </w:tcPr>
          <w:p>
            <w:r>
              <w:rPr>
                <w:rFonts w:ascii="Calibri" w:cs="Calibri" w:eastAsia="Calibri" w:hAnsi="Calibri"/>
                <w:b w:val="false"/>
                <w:bCs w:val="false"/>
                <w:color w:val="000000"/>
                <w:sz w:val="20"/>
                <w:szCs w:val="20"/>
              </w:rPr>
              <w:t xml:space="preserve">Customer → Nitume</w:t>
            </w:r>
          </w:p>
        </w:tc>
        <w:tc>
          <w:tcPr>
            <w:tcW w:type="dxa" w:w="4000"/>
            <w:tcMar>
              <w:top w:type="dxa" w:w="80"/>
              <w:left w:type="dxa" w:w="120"/>
              <w:bottom w:type="dxa" w:w="80"/>
              <w:right w:type="dxa" w:w="120"/>
            </w:tcMar>
          </w:tcPr>
          <w:p>
            <w:r>
              <w:rPr>
                <w:rFonts w:ascii="Calibri" w:cs="Calibri" w:eastAsia="Calibri" w:hAnsi="Calibri"/>
                <w:b w:val="false"/>
                <w:bCs w:val="false"/>
                <w:color w:val="000000"/>
                <w:sz w:val="20"/>
                <w:szCs w:val="20"/>
              </w:rPr>
              <w:t xml:space="preserve">Nitume's commission / booking / urgency fees — the company's actual revenue.</w:t>
            </w:r>
          </w:p>
        </w:tc>
      </w:tr>
      <w:tr>
        <w:tc>
          <w:tcPr>
            <w:tcW w:type="dxa" w:w="22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Runner fee</w:t>
            </w:r>
          </w:p>
        </w:tc>
        <w:tc>
          <w:tcPr>
            <w:tcW w:type="dxa" w:w="36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Customer / Nitume → Runner</w:t>
            </w:r>
          </w:p>
        </w:tc>
        <w:tc>
          <w:tcPr>
            <w:tcW w:type="dxa" w:w="40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Compensation for the Runner's time and labour.</w:t>
            </w:r>
          </w:p>
        </w:tc>
      </w:tr>
      <w:tr>
        <w:tc>
          <w:tcPr>
            <w:tcW w:type="dxa" w:w="2200"/>
            <w:tcMar>
              <w:top w:type="dxa" w:w="80"/>
              <w:left w:type="dxa" w:w="120"/>
              <w:bottom w:type="dxa" w:w="80"/>
              <w:right w:type="dxa" w:w="120"/>
            </w:tcMar>
          </w:tcPr>
          <w:p>
            <w:r>
              <w:rPr>
                <w:rFonts w:ascii="Calibri" w:cs="Calibri" w:eastAsia="Calibri" w:hAnsi="Calibri"/>
                <w:b w:val="false"/>
                <w:bCs w:val="false"/>
                <w:color w:val="000000"/>
                <w:sz w:val="20"/>
                <w:szCs w:val="20"/>
              </w:rPr>
              <w:t xml:space="preserve">Merchant payment</w:t>
            </w:r>
          </w:p>
        </w:tc>
        <w:tc>
          <w:tcPr>
            <w:tcW w:type="dxa" w:w="3600"/>
            <w:tcMar>
              <w:top w:type="dxa" w:w="80"/>
              <w:left w:type="dxa" w:w="120"/>
              <w:bottom w:type="dxa" w:w="80"/>
              <w:right w:type="dxa" w:w="120"/>
            </w:tcMar>
          </w:tcPr>
          <w:p>
            <w:r>
              <w:rPr>
                <w:rFonts w:ascii="Calibri" w:cs="Calibri" w:eastAsia="Calibri" w:hAnsi="Calibri"/>
                <w:b w:val="false"/>
                <w:bCs w:val="false"/>
                <w:color w:val="000000"/>
                <w:sz w:val="20"/>
                <w:szCs w:val="20"/>
              </w:rPr>
              <w:t xml:space="preserve">Customer → Merchant (direct, wherever possible)</w:t>
            </w:r>
          </w:p>
        </w:tc>
        <w:tc>
          <w:tcPr>
            <w:tcW w:type="dxa" w:w="4000"/>
            <w:tcMar>
              <w:top w:type="dxa" w:w="80"/>
              <w:left w:type="dxa" w:w="120"/>
              <w:bottom w:type="dxa" w:w="80"/>
              <w:right w:type="dxa" w:w="120"/>
            </w:tcMar>
          </w:tcPr>
          <w:p>
            <w:r>
              <w:rPr>
                <w:rFonts w:ascii="Calibri" w:cs="Calibri" w:eastAsia="Calibri" w:hAnsi="Calibri"/>
                <w:b w:val="false"/>
                <w:bCs w:val="false"/>
                <w:color w:val="000000"/>
                <w:sz w:val="20"/>
                <w:szCs w:val="20"/>
              </w:rPr>
              <w:t xml:space="preserve">The cost of the item or service being purchased. Nitume never touches this.</w:t>
            </w:r>
          </w:p>
        </w:tc>
      </w:tr>
    </w:tbl>
    <w:p>
      <w:pPr>
        <w:pStyle w:val="Heading2"/>
        <w:spacing w:after="120" w:before="260"/>
      </w:pPr>
      <w:r>
        <w:rPr>
          <w:rFonts w:ascii="Calibri" w:cs="Calibri" w:eastAsia="Calibri" w:hAnsi="Calibri"/>
          <w:b/>
          <w:bCs/>
          <w:color w:val="1F3A5F"/>
          <w:sz w:val="24"/>
          <w:szCs w:val="24"/>
        </w:rPr>
        <w:t xml:space="preserve">6.1 How a Purchase Task Is Paid</w:t>
      </w:r>
    </w:p>
    <w:p>
      <w:pPr>
        <w:spacing w:after="140" w:line="276"/>
      </w:pPr>
      <w:r>
        <w:rPr>
          <w:rFonts w:ascii="Calibri" w:cs="Calibri" w:eastAsia="Calibri" w:hAnsi="Calibri"/>
          <w:sz w:val="21"/>
          <w:szCs w:val="21"/>
        </w:rPr>
        <w:t xml:space="preserve">Wherever the merchant supports it (Till, Paybill, card, bank transfer), the customer pays the merchant directly and the Runner simply collects, verifies and delivers. Where direct merchant payment isn't possible, Nitume offers three fallback options, chosen per task:</w:t>
      </w:r>
    </w:p>
    <w:p>
      <w:pPr>
        <w:pStyle w:val="ListParagraph"/>
        <w:numPr>
          <w:ilvl w:val="0"/>
          <w:numId w:val="3"/>
        </w:numPr>
        <w:spacing w:after="80" w:line="270"/>
      </w:pPr>
      <w:r>
        <w:rPr>
          <w:rFonts w:ascii="Calibri" w:cs="Calibri" w:eastAsia="Calibri" w:hAnsi="Calibri"/>
          <w:sz w:val="21"/>
          <w:szCs w:val="21"/>
        </w:rPr>
        <w:t xml:space="preserve">Customer sends the exact purchase amount to the Runner separately from the service fee.</w:t>
      </w:r>
    </w:p>
    <w:p>
      <w:pPr>
        <w:pStyle w:val="ListParagraph"/>
        <w:numPr>
          <w:ilvl w:val="0"/>
          <w:numId w:val="3"/>
        </w:numPr>
        <w:spacing w:after="80" w:line="270"/>
      </w:pPr>
      <w:r>
        <w:rPr>
          <w:rFonts w:ascii="Calibri" w:cs="Calibri" w:eastAsia="Calibri" w:hAnsi="Calibri"/>
          <w:sz w:val="21"/>
          <w:szCs w:val="21"/>
        </w:rPr>
        <w:t xml:space="preserve">The Runner advances the purchase from their own funds, within a limit tied to their trust level, and is reimbursed through the designated payment flow.</w:t>
      </w:r>
    </w:p>
    <w:p>
      <w:pPr>
        <w:pStyle w:val="ListParagraph"/>
        <w:numPr>
          <w:ilvl w:val="0"/>
          <w:numId w:val="3"/>
        </w:numPr>
        <w:spacing w:after="80" w:line="270"/>
      </w:pPr>
      <w:r>
        <w:rPr>
          <w:rFonts w:ascii="Calibri" w:cs="Calibri" w:eastAsia="Calibri" w:hAnsi="Calibri"/>
          <w:sz w:val="21"/>
          <w:szCs w:val="21"/>
        </w:rPr>
        <w:t xml:space="preserve">For high-value items, merchant-direct payment is required — the Runner's role is limited to pickup, verification, transport and delivery; they never handle large sums.</w:t>
      </w:r>
    </w:p>
    <w:p>
      <w:pPr>
        <w:spacing w:after="140" w:line="276"/>
      </w:pPr>
      <w:r>
        <w:rPr>
          <w:rFonts w:ascii="Calibri" w:cs="Calibri" w:eastAsia="Calibri" w:hAnsi="Calibri"/>
          <w:sz w:val="21"/>
          <w:szCs w:val="21"/>
        </w:rPr>
        <w:t xml:space="preserve">If a price changes on the ground (e.g. a quoted KSh 40,000 phone turns out to cost KSh 45,000), the Runner cannot simply spend more. The customer receives a real-time authorization request for the difference and must approve or reject it before the Runner proceeds.</w:t>
      </w:r>
    </w:p>
    <w:p>
      <w:pPr>
        <w:pStyle w:val="Heading2"/>
        <w:spacing w:after="120" w:before="260"/>
      </w:pPr>
      <w:r>
        <w:rPr>
          <w:rFonts w:ascii="Calibri" w:cs="Calibri" w:eastAsia="Calibri" w:hAnsi="Calibri"/>
          <w:b/>
          <w:bCs/>
          <w:color w:val="1F3A5F"/>
          <w:sz w:val="24"/>
          <w:szCs w:val="24"/>
        </w:rPr>
        <w:t xml:space="preserve">6.2 Runner Advance Limits (indicative)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500"/>
        <w:gridCol w:w="5300"/>
      </w:tblGrid>
      <w:tr>
        <w:trPr>
          <w:tblHeader/>
        </w:trPr>
        <w:tc>
          <w:tcPr>
            <w:tcW w:type="dxa" w:w="4500"/>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Runner tier</w:t>
            </w:r>
          </w:p>
        </w:tc>
        <w:tc>
          <w:tcPr>
            <w:tcW w:type="dxa" w:w="5300"/>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Maximum purchase advance</w:t>
            </w:r>
          </w:p>
        </w:tc>
      </w:tr>
      <w:tr>
        <w:tc>
          <w:tcPr>
            <w:tcW w:type="dxa" w:w="4500"/>
            <w:tcMar>
              <w:top w:type="dxa" w:w="80"/>
              <w:left w:type="dxa" w:w="120"/>
              <w:bottom w:type="dxa" w:w="80"/>
              <w:right w:type="dxa" w:w="120"/>
            </w:tcMar>
          </w:tcPr>
          <w:p>
            <w:r>
              <w:rPr>
                <w:rFonts w:ascii="Calibri" w:cs="Calibri" w:eastAsia="Calibri" w:hAnsi="Calibri"/>
                <w:b w:val="false"/>
                <w:bCs w:val="false"/>
                <w:color w:val="000000"/>
                <w:sz w:val="20"/>
                <w:szCs w:val="20"/>
              </w:rPr>
              <w:t xml:space="preserve">New Runner</w:t>
            </w:r>
          </w:p>
        </w:tc>
        <w:tc>
          <w:tcPr>
            <w:tcW w:type="dxa" w:w="5300"/>
            <w:tcMar>
              <w:top w:type="dxa" w:w="80"/>
              <w:left w:type="dxa" w:w="120"/>
              <w:bottom w:type="dxa" w:w="80"/>
              <w:right w:type="dxa" w:w="120"/>
            </w:tcMar>
          </w:tcPr>
          <w:p>
            <w:r>
              <w:rPr>
                <w:rFonts w:ascii="Calibri" w:cs="Calibri" w:eastAsia="Calibri" w:hAnsi="Calibri"/>
                <w:b w:val="false"/>
                <w:bCs w:val="false"/>
                <w:color w:val="000000"/>
                <w:sz w:val="20"/>
                <w:szCs w:val="20"/>
              </w:rPr>
              <w:t xml:space="preserve">KSh 2,000 – 5,000</w:t>
            </w:r>
          </w:p>
        </w:tc>
      </w:tr>
      <w:tr>
        <w:tc>
          <w:tcPr>
            <w:tcW w:type="dxa" w:w="45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Established Runner</w:t>
            </w:r>
          </w:p>
        </w:tc>
        <w:tc>
          <w:tcPr>
            <w:tcW w:type="dxa" w:w="53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KSh 10,000 – 20,000</w:t>
            </w:r>
          </w:p>
        </w:tc>
      </w:tr>
      <w:tr>
        <w:tc>
          <w:tcPr>
            <w:tcW w:type="dxa" w:w="4500"/>
            <w:tcMar>
              <w:top w:type="dxa" w:w="80"/>
              <w:left w:type="dxa" w:w="120"/>
              <w:bottom w:type="dxa" w:w="80"/>
              <w:right w:type="dxa" w:w="120"/>
            </w:tcMar>
          </w:tcPr>
          <w:p>
            <w:r>
              <w:rPr>
                <w:rFonts w:ascii="Calibri" w:cs="Calibri" w:eastAsia="Calibri" w:hAnsi="Calibri"/>
                <w:b w:val="false"/>
                <w:bCs w:val="false"/>
                <w:color w:val="000000"/>
                <w:sz w:val="20"/>
                <w:szCs w:val="20"/>
              </w:rPr>
              <w:t xml:space="preserve">Highly Trusted Runner</w:t>
            </w:r>
          </w:p>
        </w:tc>
        <w:tc>
          <w:tcPr>
            <w:tcW w:type="dxa" w:w="5300"/>
            <w:tcMar>
              <w:top w:type="dxa" w:w="80"/>
              <w:left w:type="dxa" w:w="120"/>
              <w:bottom w:type="dxa" w:w="80"/>
              <w:right w:type="dxa" w:w="120"/>
            </w:tcMar>
          </w:tcPr>
          <w:p>
            <w:r>
              <w:rPr>
                <w:rFonts w:ascii="Calibri" w:cs="Calibri" w:eastAsia="Calibri" w:hAnsi="Calibri"/>
                <w:b w:val="false"/>
                <w:bCs w:val="false"/>
                <w:color w:val="000000"/>
                <w:sz w:val="20"/>
                <w:szCs w:val="20"/>
              </w:rPr>
              <w:t xml:space="preserve">KSh 50,000 – 100,000+</w:t>
            </w:r>
          </w:p>
        </w:tc>
      </w:tr>
    </w:tbl>
    <w:p>
      <w:pPr>
        <w:pStyle w:val="Heading2"/>
        <w:spacing w:after="120" w:before="260"/>
      </w:pPr>
      <w:r>
        <w:rPr>
          <w:rFonts w:ascii="Calibri" w:cs="Calibri" w:eastAsia="Calibri" w:hAnsi="Calibri"/>
          <w:b/>
          <w:bCs/>
          <w:color w:val="1F3A5F"/>
          <w:sz w:val="24"/>
          <w:szCs w:val="24"/>
        </w:rPr>
        <w:t xml:space="preserve">6.3 Why This Matters</w:t>
      </w:r>
    </w:p>
    <w:p>
      <w:pPr>
        <w:spacing w:after="140" w:line="276"/>
      </w:pPr>
      <w:r>
        <w:rPr>
          <w:rFonts w:ascii="Calibri" w:cs="Calibri" w:eastAsia="Calibri" w:hAnsi="Calibri"/>
          <w:sz w:val="21"/>
          <w:szCs w:val="21"/>
        </w:rPr>
        <w:t xml:space="preserve">Keeping purchase money out of Nitume's accounts makes the company's own finances simple: at scale, the platform's revenue is only its service fees, not the far larger volume of merchandise money moving between customers and merchants. It also avoids the operational nightmare of tracking refunds, failed purchases, partial purchases and unspent balances across thousands of transactions. Nitume will deliberately avoid building an internal customer/Runner wallet or an internal escrow system in its first version, and will have a payments and legal specialist review the exact facilitation flow before scaling customer-to-Runner transfers.</w:t>
      </w:r>
    </w:p>
    <w:p>
      <w:pPr>
        <w:pStyle w:val="Heading1"/>
        <w:pBdr>
          <w:bottom w:val="single" w:color="1F3A5F" w:sz="6" w:space="4"/>
        </w:pBdr>
        <w:spacing w:after="160" w:before="360"/>
      </w:pPr>
      <w:r>
        <w:rPr>
          <w:rFonts w:ascii="Calibri" w:cs="Calibri" w:eastAsia="Calibri" w:hAnsi="Calibri"/>
          <w:b/>
          <w:bCs/>
          <w:color w:val="1F3A5F"/>
          <w:sz w:val="30"/>
          <w:szCs w:val="30"/>
        </w:rPr>
        <w:t xml:space="preserve">7. Proof of Work: The Errand Timeline</w:t>
      </w:r>
    </w:p>
    <w:p>
      <w:pPr>
        <w:spacing w:after="140" w:line="276"/>
      </w:pPr>
      <w:r>
        <w:rPr>
          <w:rFonts w:ascii="Calibri" w:cs="Calibri" w:eastAsia="Calibri" w:hAnsi="Calibri"/>
          <w:sz w:val="21"/>
          <w:szCs w:val="21"/>
        </w:rPr>
        <w:t xml:space="preserve">Every task produces a timestamped, auditable timeline, for example:</w:t>
      </w:r>
    </w:p>
    <w:p>
      <w:pPr>
        <w:pStyle w:val="ListParagraph"/>
        <w:numPr>
          <w:ilvl w:val="0"/>
          <w:numId w:val="2"/>
        </w:numPr>
        <w:spacing w:after="80" w:line="270"/>
      </w:pPr>
      <w:r>
        <w:rPr>
          <w:rFonts w:ascii="Calibri" w:cs="Calibri" w:eastAsia="Calibri" w:hAnsi="Calibri"/>
          <w:sz w:val="21"/>
          <w:szCs w:val="21"/>
        </w:rPr>
        <w:t xml:space="preserve">Task accepted — 10:03 AM</w:t>
      </w:r>
    </w:p>
    <w:p>
      <w:pPr>
        <w:pStyle w:val="ListParagraph"/>
        <w:numPr>
          <w:ilvl w:val="0"/>
          <w:numId w:val="2"/>
        </w:numPr>
        <w:spacing w:after="80" w:line="270"/>
      </w:pPr>
      <w:r>
        <w:rPr>
          <w:rFonts w:ascii="Calibri" w:cs="Calibri" w:eastAsia="Calibri" w:hAnsi="Calibri"/>
          <w:sz w:val="21"/>
          <w:szCs w:val="21"/>
        </w:rPr>
        <w:t xml:space="preserve">Runner arrived at location — 10:28 AM (GPS recorded)</w:t>
      </w:r>
    </w:p>
    <w:p>
      <w:pPr>
        <w:pStyle w:val="ListParagraph"/>
        <w:numPr>
          <w:ilvl w:val="0"/>
          <w:numId w:val="2"/>
        </w:numPr>
        <w:spacing w:after="80" w:line="270"/>
      </w:pPr>
      <w:r>
        <w:rPr>
          <w:rFonts w:ascii="Calibri" w:cs="Calibri" w:eastAsia="Calibri" w:hAnsi="Calibri"/>
          <w:sz w:val="21"/>
          <w:szCs w:val="21"/>
        </w:rPr>
        <w:t xml:space="preserve">Photo uploaded — 10:32 AM</w:t>
      </w:r>
    </w:p>
    <w:p>
      <w:pPr>
        <w:pStyle w:val="ListParagraph"/>
        <w:numPr>
          <w:ilvl w:val="0"/>
          <w:numId w:val="2"/>
        </w:numPr>
        <w:spacing w:after="80" w:line="270"/>
      </w:pPr>
      <w:r>
        <w:rPr>
          <w:rFonts w:ascii="Calibri" w:cs="Calibri" w:eastAsia="Calibri" w:hAnsi="Calibri"/>
          <w:sz w:val="21"/>
          <w:szCs w:val="21"/>
        </w:rPr>
        <w:t xml:space="preserve">Item inspected — 10:40 AM</w:t>
      </w:r>
    </w:p>
    <w:p>
      <w:pPr>
        <w:pStyle w:val="ListParagraph"/>
        <w:numPr>
          <w:ilvl w:val="0"/>
          <w:numId w:val="2"/>
        </w:numPr>
        <w:spacing w:after="80" w:line="270"/>
      </w:pPr>
      <w:r>
        <w:rPr>
          <w:rFonts w:ascii="Calibri" w:cs="Calibri" w:eastAsia="Calibri" w:hAnsi="Calibri"/>
          <w:sz w:val="21"/>
          <w:szCs w:val="21"/>
        </w:rPr>
        <w:t xml:space="preserve">Payment made — 10:47 AM</w:t>
      </w:r>
    </w:p>
    <w:p>
      <w:pPr>
        <w:pStyle w:val="ListParagraph"/>
        <w:numPr>
          <w:ilvl w:val="0"/>
          <w:numId w:val="2"/>
        </w:numPr>
        <w:spacing w:after="80" w:line="270"/>
      </w:pPr>
      <w:r>
        <w:rPr>
          <w:rFonts w:ascii="Calibri" w:cs="Calibri" w:eastAsia="Calibri" w:hAnsi="Calibri"/>
          <w:sz w:val="21"/>
          <w:szCs w:val="21"/>
        </w:rPr>
        <w:t xml:space="preserve">Item picked up — 11:15 AM</w:t>
      </w:r>
    </w:p>
    <w:p>
      <w:pPr>
        <w:pStyle w:val="ListParagraph"/>
        <w:numPr>
          <w:ilvl w:val="0"/>
          <w:numId w:val="2"/>
        </w:numPr>
        <w:spacing w:after="80" w:line="270"/>
      </w:pPr>
      <w:r>
        <w:rPr>
          <w:rFonts w:ascii="Calibri" w:cs="Calibri" w:eastAsia="Calibri" w:hAnsi="Calibri"/>
          <w:sz w:val="21"/>
          <w:szCs w:val="21"/>
        </w:rPr>
        <w:t xml:space="preserve">Delivered and customer confirmed — 11:52 AM</w:t>
      </w:r>
    </w:p>
    <w:p>
      <w:pPr>
        <w:spacing w:after="140" w:line="276"/>
      </w:pPr>
      <w:r>
        <w:rPr>
          <w:rFonts w:ascii="Calibri" w:cs="Calibri" w:eastAsia="Calibri" w:hAnsi="Calibri"/>
          <w:sz w:val="21"/>
          <w:szCs w:val="21"/>
        </w:rPr>
        <w:t xml:space="preserve">Depending on the task type, evidence includes receipts and product photos (shopping), photos/video/checklist/GPS (inspection), recipient confirmation or signature (delivery), and room-by-room photos, video and a written checklist (property visits). This evidence trail is also the backbone of the dispute-resolution process: disputes are assessed against the original instructions, Runner messages, receipts, photos, the timeline and any customer confirmation — not handled as ad-hoc “call customer support” tickets.</w:t>
      </w:r>
    </w:p>
    <w:p>
      <w:pPr>
        <w:pStyle w:val="Heading1"/>
        <w:pBdr>
          <w:bottom w:val="single" w:color="1F3A5F" w:sz="6" w:space="4"/>
        </w:pBdr>
        <w:spacing w:after="160" w:before="360"/>
      </w:pPr>
      <w:r>
        <w:rPr>
          <w:rFonts w:ascii="Calibri" w:cs="Calibri" w:eastAsia="Calibri" w:hAnsi="Calibri"/>
          <w:b/>
          <w:bCs/>
          <w:color w:val="1F3A5F"/>
          <w:sz w:val="30"/>
          <w:szCs w:val="30"/>
        </w:rPr>
        <w:t xml:space="preserve">8. Revenue Model</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rPr>
          <w:tblHeader/>
        </w:trPr>
        <w:tc>
          <w:tcPr>
            <w:tcW w:type="dxa" w:w="3000"/>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Stream</w:t>
            </w:r>
          </w:p>
        </w:tc>
        <w:tc>
          <w:tcPr>
            <w:tcW w:type="dxa" w:w="6800"/>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3000"/>
            <w:tcMar>
              <w:top w:type="dxa" w:w="80"/>
              <w:left w:type="dxa" w:w="120"/>
              <w:bottom w:type="dxa" w:w="80"/>
              <w:right w:type="dxa" w:w="120"/>
            </w:tcMar>
          </w:tcPr>
          <w:p>
            <w:r>
              <w:rPr>
                <w:rFonts w:ascii="Calibri" w:cs="Calibri" w:eastAsia="Calibri" w:hAnsi="Calibri"/>
                <w:b w:val="false"/>
                <w:bCs w:val="false"/>
                <w:color w:val="000000"/>
                <w:sz w:val="20"/>
                <w:szCs w:val="20"/>
              </w:rPr>
              <w:t xml:space="preserve">Platform commission</w:t>
            </w:r>
          </w:p>
        </w:tc>
        <w:tc>
          <w:tcPr>
            <w:tcW w:type="dxa" w:w="6800"/>
            <w:tcMar>
              <w:top w:type="dxa" w:w="80"/>
              <w:left w:type="dxa" w:w="120"/>
              <w:bottom w:type="dxa" w:w="80"/>
              <w:right w:type="dxa" w:w="120"/>
            </w:tcMar>
          </w:tcPr>
          <w:p>
            <w:r>
              <w:rPr>
                <w:rFonts w:ascii="Calibri" w:cs="Calibri" w:eastAsia="Calibri" w:hAnsi="Calibri"/>
                <w:b w:val="false"/>
                <w:bCs w:val="false"/>
                <w:color w:val="000000"/>
                <w:sz w:val="20"/>
                <w:szCs w:val="20"/>
              </w:rPr>
              <w:t xml:space="preserve">Primary revenue — a percentage of each errand's service fee (target commission range 20–25%, to be tested).</w:t>
            </w:r>
          </w:p>
        </w:tc>
      </w:tr>
      <w:tr>
        <w:tc>
          <w:tcPr>
            <w:tcW w:type="dxa" w:w="30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Booking fee</w:t>
            </w:r>
          </w:p>
        </w:tc>
        <w:tc>
          <w:tcPr>
            <w:tcW w:type="dxa" w:w="68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Small fixed fee per task.</w:t>
            </w:r>
          </w:p>
        </w:tc>
      </w:tr>
      <w:tr>
        <w:tc>
          <w:tcPr>
            <w:tcW w:type="dxa" w:w="3000"/>
            <w:tcMar>
              <w:top w:type="dxa" w:w="80"/>
              <w:left w:type="dxa" w:w="120"/>
              <w:bottom w:type="dxa" w:w="80"/>
              <w:right w:type="dxa" w:w="120"/>
            </w:tcMar>
          </w:tcPr>
          <w:p>
            <w:r>
              <w:rPr>
                <w:rFonts w:ascii="Calibri" w:cs="Calibri" w:eastAsia="Calibri" w:hAnsi="Calibri"/>
                <w:b w:val="false"/>
                <w:bCs w:val="false"/>
                <w:color w:val="000000"/>
                <w:sz w:val="20"/>
                <w:szCs w:val="20"/>
              </w:rPr>
              <w:t xml:space="preserve">Urgency fee</w:t>
            </w:r>
          </w:p>
        </w:tc>
        <w:tc>
          <w:tcPr>
            <w:tcW w:type="dxa" w:w="6800"/>
            <w:tcMar>
              <w:top w:type="dxa" w:w="80"/>
              <w:left w:type="dxa" w:w="120"/>
              <w:bottom w:type="dxa" w:w="80"/>
              <w:right w:type="dxa" w:w="120"/>
            </w:tcMar>
          </w:tcPr>
          <w:p>
            <w:r>
              <w:rPr>
                <w:rFonts w:ascii="Calibri" w:cs="Calibri" w:eastAsia="Calibri" w:hAnsi="Calibri"/>
                <w:b w:val="false"/>
                <w:bCs w:val="false"/>
                <w:color w:val="000000"/>
                <w:sz w:val="20"/>
                <w:szCs w:val="20"/>
              </w:rPr>
              <w:t xml:space="preserve">Premium for rapid turnaround requests.</w:t>
            </w:r>
          </w:p>
        </w:tc>
      </w:tr>
      <w:tr>
        <w:tc>
          <w:tcPr>
            <w:tcW w:type="dxa" w:w="30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Premium Runner fee</w:t>
            </w:r>
          </w:p>
        </w:tc>
        <w:tc>
          <w:tcPr>
            <w:tcW w:type="dxa" w:w="68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Customer pays more to select a highly rated Runner.</w:t>
            </w:r>
          </w:p>
        </w:tc>
      </w:tr>
      <w:tr>
        <w:tc>
          <w:tcPr>
            <w:tcW w:type="dxa" w:w="3000"/>
            <w:tcMar>
              <w:top w:type="dxa" w:w="80"/>
              <w:left w:type="dxa" w:w="120"/>
              <w:bottom w:type="dxa" w:w="80"/>
              <w:right w:type="dxa" w:w="120"/>
            </w:tcMar>
          </w:tcPr>
          <w:p>
            <w:r>
              <w:rPr>
                <w:rFonts w:ascii="Calibri" w:cs="Calibri" w:eastAsia="Calibri" w:hAnsi="Calibri"/>
                <w:b w:val="false"/>
                <w:bCs w:val="false"/>
                <w:color w:val="000000"/>
                <w:sz w:val="20"/>
                <w:szCs w:val="20"/>
              </w:rPr>
              <w:t xml:space="preserve">Business subscriptions</w:t>
            </w:r>
          </w:p>
        </w:tc>
        <w:tc>
          <w:tcPr>
            <w:tcW w:type="dxa" w:w="6800"/>
            <w:tcMar>
              <w:top w:type="dxa" w:w="80"/>
              <w:left w:type="dxa" w:w="120"/>
              <w:bottom w:type="dxa" w:w="80"/>
              <w:right w:type="dxa" w:w="120"/>
            </w:tcMar>
          </w:tcPr>
          <w:p>
            <w:r>
              <w:rPr>
                <w:rFonts w:ascii="Calibri" w:cs="Calibri" w:eastAsia="Calibri" w:hAnsi="Calibri"/>
                <w:b w:val="false"/>
                <w:bCs w:val="false"/>
                <w:color w:val="000000"/>
                <w:sz w:val="20"/>
                <w:szCs w:val="20"/>
              </w:rPr>
              <w:t xml:space="preserve">Monthly plans for recurring/bulk business use (Starter, Pro, Enterprise).</w:t>
            </w:r>
          </w:p>
        </w:tc>
      </w:tr>
      <w:tr>
        <w:tc>
          <w:tcPr>
            <w:tcW w:type="dxa" w:w="30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B2B API access</w:t>
            </w:r>
          </w:p>
        </w:tc>
        <w:tc>
          <w:tcPr>
            <w:tcW w:type="dxa" w:w="68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Businesses submit and track field tasks programmatically at scale.</w:t>
            </w:r>
          </w:p>
        </w:tc>
      </w:tr>
      <w:tr>
        <w:tc>
          <w:tcPr>
            <w:tcW w:type="dxa" w:w="3000"/>
            <w:tcMar>
              <w:top w:type="dxa" w:w="80"/>
              <w:left w:type="dxa" w:w="120"/>
              <w:bottom w:type="dxa" w:w="80"/>
              <w:right w:type="dxa" w:w="120"/>
            </w:tcMar>
          </w:tcPr>
          <w:p>
            <w:r>
              <w:rPr>
                <w:rFonts w:ascii="Calibri" w:cs="Calibri" w:eastAsia="Calibri" w:hAnsi="Calibri"/>
                <w:b w:val="false"/>
                <w:bCs w:val="false"/>
                <w:color w:val="000000"/>
                <w:sz w:val="20"/>
                <w:szCs w:val="20"/>
              </w:rPr>
              <w:t xml:space="preserve">Inspection/report fee</w:t>
            </w:r>
          </w:p>
        </w:tc>
        <w:tc>
          <w:tcPr>
            <w:tcW w:type="dxa" w:w="6800"/>
            <w:tcMar>
              <w:top w:type="dxa" w:w="80"/>
              <w:left w:type="dxa" w:w="120"/>
              <w:bottom w:type="dxa" w:w="80"/>
              <w:right w:type="dxa" w:w="120"/>
            </w:tcMar>
          </w:tcPr>
          <w:p>
            <w:r>
              <w:rPr>
                <w:rFonts w:ascii="Calibri" w:cs="Calibri" w:eastAsia="Calibri" w:hAnsi="Calibri"/>
                <w:b w:val="false"/>
                <w:bCs w:val="false"/>
                <w:color w:val="000000"/>
                <w:sz w:val="20"/>
                <w:szCs w:val="20"/>
              </w:rPr>
              <w:t xml:space="preserve">Specialised, structured reporting for property, vehicle or stock inspections.</w:t>
            </w:r>
          </w:p>
        </w:tc>
      </w:tr>
    </w:tbl>
    <w:p>
      <w:pPr>
        <w:pStyle w:val="Heading2"/>
        <w:spacing w:after="120" w:before="260"/>
      </w:pPr>
      <w:r>
        <w:rPr>
          <w:rFonts w:ascii="Calibri" w:cs="Calibri" w:eastAsia="Calibri" w:hAnsi="Calibri"/>
          <w:b/>
          <w:bCs/>
          <w:color w:val="1F3A5F"/>
          <w:sz w:val="24"/>
          <w:szCs w:val="24"/>
        </w:rPr>
        <w:t xml:space="preserve">8.1 Illustrative Unit Economics</w:t>
      </w:r>
    </w:p>
    <w:p>
      <w:pPr>
        <w:spacing w:after="140" w:line="276"/>
      </w:pPr>
      <w:r>
        <w:rPr>
          <w:rFonts w:ascii="Calibri" w:cs="Calibri" w:eastAsia="Calibri" w:hAnsi="Calibri"/>
          <w:sz w:val="21"/>
          <w:szCs w:val="21"/>
        </w:rPr>
        <w:t xml:space="preserve">At 1,000 errands per month with an average service revenue of KSh 800 per errand, gross platform revenue is approximately KSh 800,000 per month before operating costs (payment processing, support, technology, marketing, refunds). The metric that matters most is contribution margin per completed errand, not download or sign-up counts.</w:t>
      </w:r>
    </w:p>
    <w:p>
      <w:pPr>
        <w:pStyle w:val="Heading2"/>
        <w:spacing w:after="120" w:before="260"/>
      </w:pPr>
      <w:r>
        <w:rPr>
          <w:rFonts w:ascii="Calibri" w:cs="Calibri" w:eastAsia="Calibri" w:hAnsi="Calibri"/>
          <w:b/>
          <w:bCs/>
          <w:color w:val="1F3A5F"/>
          <w:sz w:val="24"/>
          <w:szCs w:val="24"/>
        </w:rPr>
        <w:t xml:space="preserve">8.2 Indicative Task Pricing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800"/>
        <w:gridCol w:w="1600"/>
      </w:tblGrid>
      <w:tr>
        <w:trPr>
          <w:tblHeader/>
        </w:trPr>
        <w:tc>
          <w:tcPr>
            <w:tcW w:type="dxa" w:w="2600"/>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Task type</w:t>
            </w:r>
          </w:p>
        </w:tc>
        <w:tc>
          <w:tcPr>
            <w:tcW w:type="dxa" w:w="1800"/>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Base</w:t>
            </w:r>
          </w:p>
        </w:tc>
        <w:tc>
          <w:tcPr>
            <w:tcW w:type="dxa" w:w="2800"/>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Add-ons</w:t>
            </w:r>
          </w:p>
        </w:tc>
        <w:tc>
          <w:tcPr>
            <w:tcW w:type="dxa" w:w="1600"/>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Typical total</w:t>
            </w:r>
          </w:p>
        </w:tc>
      </w:tr>
      <w:tr>
        <w:tc>
          <w:tcPr>
            <w:tcW w:type="dxa" w:w="2600"/>
            <w:tcMar>
              <w:top w:type="dxa" w:w="80"/>
              <w:left w:type="dxa" w:w="120"/>
              <w:bottom w:type="dxa" w:w="80"/>
              <w:right w:type="dxa" w:w="120"/>
            </w:tcMar>
          </w:tcPr>
          <w:p>
            <w:r>
              <w:rPr>
                <w:rFonts w:ascii="Calibri" w:cs="Calibri" w:eastAsia="Calibri" w:hAnsi="Calibri"/>
                <w:b w:val="false"/>
                <w:bCs w:val="false"/>
                <w:color w:val="000000"/>
                <w:sz w:val="20"/>
                <w:szCs w:val="20"/>
              </w:rPr>
              <w:t xml:space="preserve">Simple pickup</w:t>
            </w:r>
          </w:p>
        </w:tc>
        <w:tc>
          <w:tcPr>
            <w:tcW w:type="dxa" w:w="1800"/>
            <w:tcMar>
              <w:top w:type="dxa" w:w="80"/>
              <w:left w:type="dxa" w:w="120"/>
              <w:bottom w:type="dxa" w:w="80"/>
              <w:right w:type="dxa" w:w="120"/>
            </w:tcMar>
          </w:tcPr>
          <w:p>
            <w:r>
              <w:rPr>
                <w:rFonts w:ascii="Calibri" w:cs="Calibri" w:eastAsia="Calibri" w:hAnsi="Calibri"/>
                <w:b w:val="false"/>
                <w:bCs w:val="false"/>
                <w:color w:val="000000"/>
                <w:sz w:val="20"/>
                <w:szCs w:val="20"/>
              </w:rPr>
              <w:t xml:space="preserve">KSh 300</w:t>
            </w:r>
          </w:p>
        </w:tc>
        <w:tc>
          <w:tcPr>
            <w:tcW w:type="dxa" w:w="2800"/>
            <w:tcMar>
              <w:top w:type="dxa" w:w="80"/>
              <w:left w:type="dxa" w:w="120"/>
              <w:bottom w:type="dxa" w:w="80"/>
              <w:right w:type="dxa" w:w="120"/>
            </w:tcMar>
          </w:tcPr>
          <w:p>
            <w:r>
              <w:rPr>
                <w:rFonts w:ascii="Calibri" w:cs="Calibri" w:eastAsia="Calibri" w:hAnsi="Calibri"/>
                <w:b w:val="false"/>
                <w:bCs w:val="false"/>
                <w:color w:val="000000"/>
                <w:sz w:val="20"/>
                <w:szCs w:val="20"/>
              </w:rPr>
              <w:t xml:space="preserve">+ KSh 200 distance</w:t>
            </w:r>
          </w:p>
        </w:tc>
        <w:tc>
          <w:tcPr>
            <w:tcW w:type="dxa" w:w="1600"/>
            <w:tcMar>
              <w:top w:type="dxa" w:w="80"/>
              <w:left w:type="dxa" w:w="120"/>
              <w:bottom w:type="dxa" w:w="80"/>
              <w:right w:type="dxa" w:w="120"/>
            </w:tcMar>
          </w:tcPr>
          <w:p>
            <w:r>
              <w:rPr>
                <w:rFonts w:ascii="Calibri" w:cs="Calibri" w:eastAsia="Calibri" w:hAnsi="Calibri"/>
                <w:b w:val="false"/>
                <w:bCs w:val="false"/>
                <w:color w:val="000000"/>
                <w:sz w:val="20"/>
                <w:szCs w:val="20"/>
              </w:rPr>
              <w:t xml:space="preserve">≈ KSh 500</w:t>
            </w:r>
          </w:p>
        </w:tc>
      </w:tr>
      <w:tr>
        <w:tc>
          <w:tcPr>
            <w:tcW w:type="dxa" w:w="26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Shopping errand</w:t>
            </w:r>
          </w:p>
        </w:tc>
        <w:tc>
          <w:tcPr>
            <w:tcW w:type="dxa" w:w="18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KSh 500</w:t>
            </w:r>
          </w:p>
        </w:tc>
        <w:tc>
          <w:tcPr>
            <w:tcW w:type="dxa" w:w="28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 KSh 300 time + KSh 200 delivery</w:t>
            </w:r>
          </w:p>
        </w:tc>
        <w:tc>
          <w:tcPr>
            <w:tcW w:type="dxa" w:w="16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 KSh 1,000</w:t>
            </w:r>
          </w:p>
        </w:tc>
      </w:tr>
      <w:tr>
        <w:tc>
          <w:tcPr>
            <w:tcW w:type="dxa" w:w="2600"/>
            <w:tcMar>
              <w:top w:type="dxa" w:w="80"/>
              <w:left w:type="dxa" w:w="120"/>
              <w:bottom w:type="dxa" w:w="80"/>
              <w:right w:type="dxa" w:w="120"/>
            </w:tcMar>
          </w:tcPr>
          <w:p>
            <w:r>
              <w:rPr>
                <w:rFonts w:ascii="Calibri" w:cs="Calibri" w:eastAsia="Calibri" w:hAnsi="Calibri"/>
                <w:b w:val="false"/>
                <w:bCs w:val="false"/>
                <w:color w:val="000000"/>
                <w:sz w:val="20"/>
                <w:szCs w:val="20"/>
              </w:rPr>
              <w:t xml:space="preserve">Property inspection</w:t>
            </w:r>
          </w:p>
        </w:tc>
        <w:tc>
          <w:tcPr>
            <w:tcW w:type="dxa" w:w="1800"/>
            <w:tcMar>
              <w:top w:type="dxa" w:w="80"/>
              <w:left w:type="dxa" w:w="120"/>
              <w:bottom w:type="dxa" w:w="80"/>
              <w:right w:type="dxa" w:w="120"/>
            </w:tcMar>
          </w:tcPr>
          <w:p>
            <w:r>
              <w:rPr>
                <w:rFonts w:ascii="Calibri" w:cs="Calibri" w:eastAsia="Calibri" w:hAnsi="Calibri"/>
                <w:b w:val="false"/>
                <w:bCs w:val="false"/>
                <w:color w:val="000000"/>
                <w:sz w:val="20"/>
                <w:szCs w:val="20"/>
              </w:rPr>
              <w:t xml:space="preserve">KSh 1,000</w:t>
            </w:r>
          </w:p>
        </w:tc>
        <w:tc>
          <w:tcPr>
            <w:tcW w:type="dxa" w:w="2800"/>
            <w:tcMar>
              <w:top w:type="dxa" w:w="80"/>
              <w:left w:type="dxa" w:w="120"/>
              <w:bottom w:type="dxa" w:w="80"/>
              <w:right w:type="dxa" w:w="120"/>
            </w:tcMar>
          </w:tcPr>
          <w:p>
            <w:r>
              <w:rPr>
                <w:rFonts w:ascii="Calibri" w:cs="Calibri" w:eastAsia="Calibri" w:hAnsi="Calibri"/>
                <w:b w:val="false"/>
                <w:bCs w:val="false"/>
                <w:color w:val="000000"/>
                <w:sz w:val="20"/>
                <w:szCs w:val="20"/>
              </w:rPr>
              <w:t xml:space="preserve">+ KSh 700 report + KSh 500 transport</w:t>
            </w:r>
          </w:p>
        </w:tc>
        <w:tc>
          <w:tcPr>
            <w:tcW w:type="dxa" w:w="1600"/>
            <w:tcMar>
              <w:top w:type="dxa" w:w="80"/>
              <w:left w:type="dxa" w:w="120"/>
              <w:bottom w:type="dxa" w:w="80"/>
              <w:right w:type="dxa" w:w="120"/>
            </w:tcMar>
          </w:tcPr>
          <w:p>
            <w:r>
              <w:rPr>
                <w:rFonts w:ascii="Calibri" w:cs="Calibri" w:eastAsia="Calibri" w:hAnsi="Calibri"/>
                <w:b w:val="false"/>
                <w:bCs w:val="false"/>
                <w:color w:val="000000"/>
                <w:sz w:val="20"/>
                <w:szCs w:val="20"/>
              </w:rPr>
              <w:t xml:space="preserve">≈ KSh 2,200</w:t>
            </w:r>
          </w:p>
        </w:tc>
      </w:tr>
    </w:tbl>
    <w:p>
      <w:pPr>
        <w:spacing w:after="140" w:line="276"/>
      </w:pPr>
      <w:r>
        <w:rPr>
          <w:rFonts w:ascii="Calibri" w:cs="Calibri" w:eastAsia="Calibri" w:hAnsi="Calibri"/>
          <w:sz w:val="21"/>
          <w:szCs w:val="21"/>
        </w:rPr>
        <w:t xml:space="preserve">Of the customer's total payment, only the service/Runner-fee portion is Nitume/Runner revenue — any merchandise cost is excluded and, wherever possible, paid directly to the merchant per Section 6.</w:t>
      </w:r>
    </w:p>
    <w:p>
      <w:pPr>
        <w:pStyle w:val="Heading1"/>
        <w:pBdr>
          <w:bottom w:val="single" w:color="1F3A5F" w:sz="6" w:space="4"/>
        </w:pBdr>
        <w:spacing w:after="160" w:before="360"/>
      </w:pPr>
      <w:r>
        <w:rPr>
          <w:rFonts w:ascii="Calibri" w:cs="Calibri" w:eastAsia="Calibri" w:hAnsi="Calibri"/>
          <w:b/>
          <w:bCs/>
          <w:color w:val="1F3A5F"/>
          <w:sz w:val="30"/>
          <w:szCs w:val="30"/>
        </w:rPr>
        <w:t xml:space="preserve">9. Technology &amp; Platform Architecture</w:t>
      </w:r>
    </w:p>
    <w:p>
      <w:pPr>
        <w:spacing w:after="140" w:line="276"/>
      </w:pPr>
      <w:r>
        <w:rPr>
          <w:rFonts w:ascii="Calibri" w:cs="Calibri" w:eastAsia="Calibri" w:hAnsi="Calibri"/>
          <w:sz w:val="21"/>
          <w:szCs w:val="21"/>
        </w:rPr>
        <w:t xml:space="preserve">Nitume will be built as an API-first platform with three client surfaces: a public website, an Angular web application for customers/admin, and native mobile apps for Runners and customers built with Flutter.</w:t>
      </w:r>
    </w:p>
    <w:p>
      <w:pPr>
        <w:pStyle w:val="Heading2"/>
        <w:spacing w:after="120" w:before="260"/>
      </w:pPr>
      <w:r>
        <w:rPr>
          <w:rFonts w:ascii="Calibri" w:cs="Calibri" w:eastAsia="Calibri" w:hAnsi="Calibri"/>
          <w:b/>
          <w:bCs/>
          <w:color w:val="1F3A5F"/>
          <w:sz w:val="24"/>
          <w:szCs w:val="24"/>
        </w:rPr>
        <w:t xml:space="preserve">9.1 Chosen Stack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200"/>
      </w:tblGrid>
      <w:tr>
        <w:trPr>
          <w:tblHeader/>
        </w:trPr>
        <w:tc>
          <w:tcPr>
            <w:tcW w:type="dxa" w:w="1800"/>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Layer</w:t>
            </w:r>
          </w:p>
        </w:tc>
        <w:tc>
          <w:tcPr>
            <w:tcW w:type="dxa" w:w="3200"/>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tcW w:type="dxa" w:w="4200"/>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1800"/>
            <w:tcMar>
              <w:top w:type="dxa" w:w="80"/>
              <w:left w:type="dxa" w:w="120"/>
              <w:bottom w:type="dxa" w:w="80"/>
              <w:right w:type="dxa" w:w="120"/>
            </w:tcMar>
          </w:tcPr>
          <w:p>
            <w:r>
              <w:rPr>
                <w:rFonts w:ascii="Calibri" w:cs="Calibri" w:eastAsia="Calibri" w:hAnsi="Calibri"/>
                <w:b w:val="false"/>
                <w:bCs w:val="false"/>
                <w:color w:val="000000"/>
                <w:sz w:val="20"/>
                <w:szCs w:val="20"/>
              </w:rPr>
              <w:t xml:space="preserve">Backend / API</w:t>
            </w:r>
          </w:p>
        </w:tc>
        <w:tc>
          <w:tcPr>
            <w:tcW w:type="dxa" w:w="3200"/>
            <w:tcMar>
              <w:top w:type="dxa" w:w="80"/>
              <w:left w:type="dxa" w:w="120"/>
              <w:bottom w:type="dxa" w:w="80"/>
              <w:right w:type="dxa" w:w="120"/>
            </w:tcMar>
          </w:tcPr>
          <w:p>
            <w:r>
              <w:rPr>
                <w:rFonts w:ascii="Calibri" w:cs="Calibri" w:eastAsia="Calibri" w:hAnsi="Calibri"/>
                <w:b w:val="false"/>
                <w:bCs w:val="false"/>
                <w:color w:val="000000"/>
                <w:sz w:val="20"/>
                <w:szCs w:val="20"/>
              </w:rPr>
              <w:t xml:space="preserve">NestJS (Node.js, TypeScript)</w:t>
            </w:r>
          </w:p>
        </w:tc>
        <w:tc>
          <w:tcPr>
            <w:tcW w:type="dxa" w:w="4200"/>
            <w:tcMar>
              <w:top w:type="dxa" w:w="80"/>
              <w:left w:type="dxa" w:w="120"/>
              <w:bottom w:type="dxa" w:w="80"/>
              <w:right w:type="dxa" w:w="120"/>
            </w:tcMar>
          </w:tcPr>
          <w:p>
            <w:r>
              <w:rPr>
                <w:rFonts w:ascii="Calibri" w:cs="Calibri" w:eastAsia="Calibri" w:hAnsi="Calibri"/>
                <w:b w:val="false"/>
                <w:bCs w:val="false"/>
                <w:color w:val="000000"/>
                <w:sz w:val="20"/>
                <w:szCs w:val="20"/>
              </w:rPr>
              <w:t xml:space="preserve">Modular, testable service architecture; REST (and later GraphQL) API consumed by web and mobile.</w:t>
            </w:r>
          </w:p>
        </w:tc>
      </w:tr>
      <w:tr>
        <w:tc>
          <w:tcPr>
            <w:tcW w:type="dxa" w:w="18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Database</w:t>
            </w:r>
          </w:p>
        </w:tc>
        <w:tc>
          <w:tcPr>
            <w:tcW w:type="dxa" w:w="32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PostgreSQL</w:t>
            </w:r>
          </w:p>
        </w:tc>
        <w:tc>
          <w:tcPr>
            <w:tcW w:type="dxa" w:w="42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Relational integrity for tasks, payments, verification and evidence records.</w:t>
            </w:r>
          </w:p>
        </w:tc>
      </w:tr>
      <w:tr>
        <w:tc>
          <w:tcPr>
            <w:tcW w:type="dxa" w:w="1800"/>
            <w:tcMar>
              <w:top w:type="dxa" w:w="80"/>
              <w:left w:type="dxa" w:w="120"/>
              <w:bottom w:type="dxa" w:w="80"/>
              <w:right w:type="dxa" w:w="120"/>
            </w:tcMar>
          </w:tcPr>
          <w:p>
            <w:r>
              <w:rPr>
                <w:rFonts w:ascii="Calibri" w:cs="Calibri" w:eastAsia="Calibri" w:hAnsi="Calibri"/>
                <w:b w:val="false"/>
                <w:bCs w:val="false"/>
                <w:color w:val="000000"/>
                <w:sz w:val="20"/>
                <w:szCs w:val="20"/>
              </w:rPr>
              <w:t xml:space="preserve">Web frontend</w:t>
            </w:r>
          </w:p>
        </w:tc>
        <w:tc>
          <w:tcPr>
            <w:tcW w:type="dxa" w:w="3200"/>
            <w:tcMar>
              <w:top w:type="dxa" w:w="80"/>
              <w:left w:type="dxa" w:w="120"/>
              <w:bottom w:type="dxa" w:w="80"/>
              <w:right w:type="dxa" w:w="120"/>
            </w:tcMar>
          </w:tcPr>
          <w:p>
            <w:r>
              <w:rPr>
                <w:rFonts w:ascii="Calibri" w:cs="Calibri" w:eastAsia="Calibri" w:hAnsi="Calibri"/>
                <w:b w:val="false"/>
                <w:bCs w:val="false"/>
                <w:color w:val="000000"/>
                <w:sz w:val="20"/>
                <w:szCs w:val="20"/>
              </w:rPr>
              <w:t xml:space="preserve">Angular</w:t>
            </w:r>
          </w:p>
        </w:tc>
        <w:tc>
          <w:tcPr>
            <w:tcW w:type="dxa" w:w="4200"/>
            <w:tcMar>
              <w:top w:type="dxa" w:w="80"/>
              <w:left w:type="dxa" w:w="120"/>
              <w:bottom w:type="dxa" w:w="80"/>
              <w:right w:type="dxa" w:w="120"/>
            </w:tcMar>
          </w:tcPr>
          <w:p>
            <w:r>
              <w:rPr>
                <w:rFonts w:ascii="Calibri" w:cs="Calibri" w:eastAsia="Calibri" w:hAnsi="Calibri"/>
                <w:b w:val="false"/>
                <w:bCs w:val="false"/>
                <w:color w:val="000000"/>
                <w:sz w:val="20"/>
                <w:szCs w:val="20"/>
              </w:rPr>
              <w:t xml:space="preserve">Customer web app, business/admin dashboards, operations console.</w:t>
            </w:r>
          </w:p>
        </w:tc>
      </w:tr>
      <w:tr>
        <w:tc>
          <w:tcPr>
            <w:tcW w:type="dxa" w:w="18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Mobile apps</w:t>
            </w:r>
          </w:p>
        </w:tc>
        <w:tc>
          <w:tcPr>
            <w:tcW w:type="dxa" w:w="32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Flutter (iOS + Android)</w:t>
            </w:r>
          </w:p>
        </w:tc>
        <w:tc>
          <w:tcPr>
            <w:tcW w:type="dxa" w:w="42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Single codebase for Customer app and Runner app on both platforms.</w:t>
            </w:r>
          </w:p>
        </w:tc>
      </w:tr>
      <w:tr>
        <w:tc>
          <w:tcPr>
            <w:tcW w:type="dxa" w:w="1800"/>
            <w:tcMar>
              <w:top w:type="dxa" w:w="80"/>
              <w:left w:type="dxa" w:w="120"/>
              <w:bottom w:type="dxa" w:w="80"/>
              <w:right w:type="dxa" w:w="120"/>
            </w:tcMar>
          </w:tcPr>
          <w:p>
            <w:r>
              <w:rPr>
                <w:rFonts w:ascii="Calibri" w:cs="Calibri" w:eastAsia="Calibri" w:hAnsi="Calibri"/>
                <w:b w:val="false"/>
                <w:bCs w:val="false"/>
                <w:color w:val="000000"/>
                <w:sz w:val="20"/>
                <w:szCs w:val="20"/>
              </w:rPr>
              <w:t xml:space="preserve">Notifications</w:t>
            </w:r>
          </w:p>
        </w:tc>
        <w:tc>
          <w:tcPr>
            <w:tcW w:type="dxa" w:w="3200"/>
            <w:tcMar>
              <w:top w:type="dxa" w:w="80"/>
              <w:left w:type="dxa" w:w="120"/>
              <w:bottom w:type="dxa" w:w="80"/>
              <w:right w:type="dxa" w:w="120"/>
            </w:tcMar>
          </w:tcPr>
          <w:p>
            <w:r>
              <w:rPr>
                <w:rFonts w:ascii="Calibri" w:cs="Calibri" w:eastAsia="Calibri" w:hAnsi="Calibri"/>
                <w:b w:val="false"/>
                <w:bCs w:val="false"/>
                <w:color w:val="000000"/>
                <w:sz w:val="20"/>
                <w:szCs w:val="20"/>
              </w:rPr>
              <w:t xml:space="preserve">WhatsApp Business API, SMS, email, push</w:t>
            </w:r>
          </w:p>
        </w:tc>
        <w:tc>
          <w:tcPr>
            <w:tcW w:type="dxa" w:w="4200"/>
            <w:tcMar>
              <w:top w:type="dxa" w:w="80"/>
              <w:left w:type="dxa" w:w="120"/>
              <w:bottom w:type="dxa" w:w="80"/>
              <w:right w:type="dxa" w:w="120"/>
            </w:tcMar>
          </w:tcPr>
          <w:p>
            <w:r>
              <w:rPr>
                <w:rFonts w:ascii="Calibri" w:cs="Calibri" w:eastAsia="Calibri" w:hAnsi="Calibri"/>
                <w:b w:val="false"/>
                <w:bCs w:val="false"/>
                <w:color w:val="000000"/>
                <w:sz w:val="20"/>
                <w:szCs w:val="20"/>
              </w:rPr>
              <w:t xml:space="preserve">WhatsApp as the primary low-friction channel, especially at MVP stage.</w:t>
            </w:r>
          </w:p>
        </w:tc>
      </w:tr>
      <w:tr>
        <w:tc>
          <w:tcPr>
            <w:tcW w:type="dxa" w:w="18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Maps &amp; location</w:t>
            </w:r>
          </w:p>
        </w:tc>
        <w:tc>
          <w:tcPr>
            <w:tcW w:type="dxa" w:w="32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Google Maps / Mapbox</w:t>
            </w:r>
          </w:p>
        </w:tc>
        <w:tc>
          <w:tcPr>
            <w:tcW w:type="dxa" w:w="42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Runner matching, live tracking, distance-based pricing.</w:t>
            </w:r>
          </w:p>
        </w:tc>
      </w:tr>
      <w:tr>
        <w:tc>
          <w:tcPr>
            <w:tcW w:type="dxa" w:w="1800"/>
            <w:tcMar>
              <w:top w:type="dxa" w:w="80"/>
              <w:left w:type="dxa" w:w="120"/>
              <w:bottom w:type="dxa" w:w="80"/>
              <w:right w:type="dxa" w:w="120"/>
            </w:tcMar>
          </w:tcPr>
          <w:p>
            <w:r>
              <w:rPr>
                <w:rFonts w:ascii="Calibri" w:cs="Calibri" w:eastAsia="Calibri" w:hAnsi="Calibri"/>
                <w:b w:val="false"/>
                <w:bCs w:val="false"/>
                <w:color w:val="000000"/>
                <w:sz w:val="20"/>
                <w:szCs w:val="20"/>
              </w:rPr>
              <w:t xml:space="preserve">Payments</w:t>
            </w:r>
          </w:p>
        </w:tc>
        <w:tc>
          <w:tcPr>
            <w:tcW w:type="dxa" w:w="3200"/>
            <w:tcMar>
              <w:top w:type="dxa" w:w="80"/>
              <w:left w:type="dxa" w:w="120"/>
              <w:bottom w:type="dxa" w:w="80"/>
              <w:right w:type="dxa" w:w="120"/>
            </w:tcMar>
          </w:tcPr>
          <w:p>
            <w:r>
              <w:rPr>
                <w:rFonts w:ascii="Calibri" w:cs="Calibri" w:eastAsia="Calibri" w:hAnsi="Calibri"/>
                <w:b w:val="false"/>
                <w:bCs w:val="false"/>
                <w:color w:val="000000"/>
                <w:sz w:val="20"/>
                <w:szCs w:val="20"/>
              </w:rPr>
              <w:t xml:space="preserve">M-Pesa (Daraja API) + card gateway</w:t>
            </w:r>
          </w:p>
        </w:tc>
        <w:tc>
          <w:tcPr>
            <w:tcW w:type="dxa" w:w="4200"/>
            <w:tcMar>
              <w:top w:type="dxa" w:w="80"/>
              <w:left w:type="dxa" w:w="120"/>
              <w:bottom w:type="dxa" w:w="80"/>
              <w:right w:type="dxa" w:w="120"/>
            </w:tcMar>
          </w:tcPr>
          <w:p>
            <w:r>
              <w:rPr>
                <w:rFonts w:ascii="Calibri" w:cs="Calibri" w:eastAsia="Calibri" w:hAnsi="Calibri"/>
                <w:b w:val="false"/>
                <w:bCs w:val="false"/>
                <w:color w:val="000000"/>
                <w:sz w:val="20"/>
                <w:szCs w:val="20"/>
              </w:rPr>
              <w:t xml:space="preserve">Orchestrates the three payment flows in Section 6; does not hold customer purchase funds by default.</w:t>
            </w:r>
          </w:p>
        </w:tc>
      </w:tr>
      <w:tr>
        <w:tc>
          <w:tcPr>
            <w:tcW w:type="dxa" w:w="18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File/evidence storage</w:t>
            </w:r>
          </w:p>
        </w:tc>
        <w:tc>
          <w:tcPr>
            <w:tcW w:type="dxa" w:w="32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Object storage (e.g. S3-compatible)</w:t>
            </w:r>
          </w:p>
        </w:tc>
        <w:tc>
          <w:tcPr>
            <w:tcW w:type="dxa" w:w="42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Photos, videos, receipts, signed documents, timeline evidence.</w:t>
            </w:r>
          </w:p>
        </w:tc>
      </w:tr>
    </w:tbl>
    <w:p>
      <w:pPr>
        <w:pStyle w:val="Heading2"/>
        <w:spacing w:after="120" w:before="260"/>
      </w:pPr>
      <w:r>
        <w:rPr>
          <w:rFonts w:ascii="Calibri" w:cs="Calibri" w:eastAsia="Calibri" w:hAnsi="Calibri"/>
          <w:b/>
          <w:bCs/>
          <w:color w:val="1F3A5F"/>
          <w:sz w:val="24"/>
          <w:szCs w:val="24"/>
        </w:rPr>
        <w:t xml:space="preserve">9.2 High-Level Domain Model</w:t>
      </w:r>
    </w:p>
    <w:p>
      <w:pPr>
        <w:spacing w:after="140" w:line="276"/>
      </w:pPr>
      <w:r>
        <w:rPr>
          <w:rFonts w:ascii="Calibri" w:cs="Calibri" w:eastAsia="Calibri" w:hAnsi="Calibri"/>
          <w:sz w:val="21"/>
          <w:szCs w:val="21"/>
        </w:rPr>
        <w:t xml:space="preserve">Core entities the NestJS API will need to model: Users (Customers, Runners, Admins), Runner Profiles, Runner Verifications, Runner Service Areas, Runner Skills, Errands (Tasks), Errand Items, Errand Locations, Errand Status History, Errand Assignments, Quotes, Payments, Payment Transactions, Merchant Payments, Evidence (photos, videos, receipts, documents), Ratings &amp; Reviews, Disputes, Refunds, and Notifications.</w:t>
      </w:r>
    </w:p>
    <w:p>
      <w:pPr>
        <w:pStyle w:val="Heading2"/>
        <w:spacing w:after="120" w:before="260"/>
      </w:pPr>
      <w:r>
        <w:rPr>
          <w:rFonts w:ascii="Calibri" w:cs="Calibri" w:eastAsia="Calibri" w:hAnsi="Calibri"/>
          <w:b/>
          <w:bCs/>
          <w:color w:val="1F3A5F"/>
          <w:sz w:val="24"/>
          <w:szCs w:val="24"/>
        </w:rPr>
        <w:t xml:space="preserve">9.3 Task State Machine</w:t>
      </w:r>
    </w:p>
    <w:p>
      <w:pPr>
        <w:spacing w:after="140" w:line="276"/>
      </w:pPr>
      <w:r>
        <w:rPr>
          <w:rFonts w:ascii="Calibri" w:cs="Calibri" w:eastAsia="Calibri" w:hAnsi="Calibri"/>
          <w:sz w:val="21"/>
          <w:szCs w:val="21"/>
        </w:rPr>
        <w:t xml:space="preserve">Tasks move through explicit states rather than a simple pending/completed flag, which is essential for accurate tracking, disputes and reporting: DRAFT → REQUESTED → QUOTED → ACCEPTED → PAYMENT_CONFIRMED → RUNNER_ASSIGNED → RUNNER_EN_ROUTE → ARRIVED → IN_PROGRESS → AWAITING_CUSTOMER → COMPLETED → CONFIRMED → SETTLED, with side states CANCELLED, FAILED, DISPUTED and EXPIRED.</w:t>
      </w:r>
    </w:p>
    <w:p>
      <w:pPr>
        <w:pStyle w:val="Heading2"/>
        <w:spacing w:after="120" w:before="260"/>
      </w:pPr>
      <w:r>
        <w:rPr>
          <w:rFonts w:ascii="Calibri" w:cs="Calibri" w:eastAsia="Calibri" w:hAnsi="Calibri"/>
          <w:b/>
          <w:bCs/>
          <w:color w:val="1F3A5F"/>
          <w:sz w:val="24"/>
          <w:szCs w:val="24"/>
        </w:rPr>
        <w:t xml:space="preserve">9.4 MVP Sequencing Note</w:t>
      </w:r>
    </w:p>
    <w:p>
      <w:pPr>
        <w:spacing w:after="140" w:line="276"/>
      </w:pPr>
      <w:r>
        <w:rPr>
          <w:rFonts w:ascii="Calibri" w:cs="Calibri" w:eastAsia="Calibri" w:hAnsi="Calibri"/>
          <w:sz w:val="21"/>
          <w:szCs w:val="21"/>
        </w:rPr>
        <w:t xml:space="preserve">The first 100–500 tasks should be matched manually through an admin dashboard even while the NestJS/Angular/Flutter stack is being built, so the team learns real demand patterns (which task categories are actually requested, realistic pricing, common failure points) before finalising the automated matching algorithm. This mirrors the approach below in Section 11 and directly informs the system design phase that follows this plan.</w:t>
      </w:r>
    </w:p>
    <w:p>
      <w:pPr>
        <w:pStyle w:val="Heading1"/>
        <w:pBdr>
          <w:bottom w:val="single" w:color="1F3A5F" w:sz="6" w:space="4"/>
        </w:pBdr>
        <w:spacing w:after="160" w:before="360"/>
      </w:pPr>
      <w:r>
        <w:rPr>
          <w:rFonts w:ascii="Calibri" w:cs="Calibri" w:eastAsia="Calibri" w:hAnsi="Calibri"/>
          <w:b/>
          <w:bCs/>
          <w:color w:val="1F3A5F"/>
          <w:sz w:val="30"/>
          <w:szCs w:val="30"/>
        </w:rPr>
        <w:t xml:space="preserve">10. Go-To-Market Strategy</w:t>
      </w:r>
    </w:p>
    <w:p>
      <w:pPr>
        <w:pStyle w:val="Heading2"/>
        <w:spacing w:after="120" w:before="260"/>
      </w:pPr>
      <w:r>
        <w:rPr>
          <w:rFonts w:ascii="Calibri" w:cs="Calibri" w:eastAsia="Calibri" w:hAnsi="Calibri"/>
          <w:b/>
          <w:bCs/>
          <w:color w:val="1F3A5F"/>
          <w:sz w:val="24"/>
          <w:szCs w:val="24"/>
        </w:rPr>
        <w:t xml:space="preserve">10.1 Positioning</w:t>
      </w:r>
    </w:p>
    <w:p>
      <w:pPr>
        <w:spacing w:after="140" w:line="276"/>
      </w:pPr>
      <w:r>
        <w:rPr>
          <w:rFonts w:ascii="Calibri" w:cs="Calibri" w:eastAsia="Calibri" w:hAnsi="Calibri"/>
          <w:sz w:val="21"/>
          <w:szCs w:val="21"/>
        </w:rPr>
        <w:t xml:space="preserve">Not “Uber for errands” (too generic) and not “a delivery app” (too narrow). Nitume's positioning: “You can't be everywhere. We can.” — task, trust and evidence, in that order.</w:t>
      </w:r>
    </w:p>
    <w:p>
      <w:pPr>
        <w:pStyle w:val="Heading2"/>
        <w:spacing w:after="120" w:before="260"/>
      </w:pPr>
      <w:r>
        <w:rPr>
          <w:rFonts w:ascii="Calibri" w:cs="Calibri" w:eastAsia="Calibri" w:hAnsi="Calibri"/>
          <w:b/>
          <w:bCs/>
          <w:color w:val="1F3A5F"/>
          <w:sz w:val="24"/>
          <w:szCs w:val="24"/>
        </w:rPr>
        <w:t xml:space="preserve">10.2 Launch Sequence</w:t>
      </w:r>
    </w:p>
    <w:p>
      <w:pPr>
        <w:pStyle w:val="ListParagraph"/>
        <w:numPr>
          <w:ilvl w:val="0"/>
          <w:numId w:val="3"/>
        </w:numPr>
        <w:spacing w:after="80" w:line="270"/>
      </w:pPr>
      <w:r>
        <w:rPr>
          <w:rFonts w:ascii="Calibri" w:cs="Calibri" w:eastAsia="Calibri" w:hAnsi="Calibri"/>
          <w:sz w:val="21"/>
          <w:szCs w:val="21"/>
        </w:rPr>
        <w:t xml:space="preserve">Recruit and verify 20–50 Runners in a single Nairobi cluster before onboarding customers at scale.</w:t>
      </w:r>
    </w:p>
    <w:p>
      <w:pPr>
        <w:pStyle w:val="ListParagraph"/>
        <w:numPr>
          <w:ilvl w:val="0"/>
          <w:numId w:val="3"/>
        </w:numPr>
        <w:spacing w:after="80" w:line="270"/>
      </w:pPr>
      <w:r>
        <w:rPr>
          <w:rFonts w:ascii="Calibri" w:cs="Calibri" w:eastAsia="Calibri" w:hAnsi="Calibri"/>
          <w:sz w:val="21"/>
          <w:szCs w:val="21"/>
        </w:rPr>
        <w:t xml:space="preserve">Acquire the first 100 customers through WhatsApp groups, residential/apartment communities, LinkedIn, Facebook groups, TikTok/Instagram and referrals — marketing specific problems solved (“Can't leave work? We'll pick it up.” “Out of the country? We'll check the property.”), not the generic idea of errands.</w:t>
      </w:r>
    </w:p>
    <w:p>
      <w:pPr>
        <w:pStyle w:val="ListParagraph"/>
        <w:numPr>
          <w:ilvl w:val="0"/>
          <w:numId w:val="3"/>
        </w:numPr>
        <w:spacing w:after="80" w:line="270"/>
      </w:pPr>
      <w:r>
        <w:rPr>
          <w:rFonts w:ascii="Calibri" w:cs="Calibri" w:eastAsia="Calibri" w:hAnsi="Calibri"/>
          <w:sz w:val="21"/>
          <w:szCs w:val="21"/>
        </w:rPr>
        <w:t xml:space="preserve">Run the first hundreds of tasks with heavy manual oversight; interview both customers and Runners after each task to find what almost stopped them from using Nitume.</w:t>
      </w:r>
    </w:p>
    <w:p>
      <w:pPr>
        <w:pStyle w:val="ListParagraph"/>
        <w:numPr>
          <w:ilvl w:val="0"/>
          <w:numId w:val="3"/>
        </w:numPr>
        <w:spacing w:after="80" w:line="270"/>
      </w:pPr>
      <w:r>
        <w:rPr>
          <w:rFonts w:ascii="Calibri" w:cs="Calibri" w:eastAsia="Calibri" w:hAnsi="Calibri"/>
          <w:sz w:val="21"/>
          <w:szCs w:val="21"/>
        </w:rPr>
        <w:t xml:space="preserve">Introduce a referral programme (e.g. service credit for both parties) once repeat usage is established.</w:t>
      </w:r>
    </w:p>
    <w:p>
      <w:pPr>
        <w:pStyle w:val="ListParagraph"/>
        <w:numPr>
          <w:ilvl w:val="0"/>
          <w:numId w:val="3"/>
        </w:numPr>
        <w:spacing w:after="80" w:line="270"/>
      </w:pPr>
      <w:r>
        <w:rPr>
          <w:rFonts w:ascii="Calibri" w:cs="Calibri" w:eastAsia="Calibri" w:hAnsi="Calibri"/>
          <w:sz w:val="21"/>
          <w:szCs w:val="21"/>
        </w:rPr>
        <w:t xml:space="preserve">Layer in business accounts, recurring tasks and a dedicated diaspora landing page once the core marketplace is stable.</w:t>
      </w:r>
    </w:p>
    <w:p>
      <w:pPr>
        <w:pStyle w:val="Heading2"/>
        <w:spacing w:after="120" w:before="260"/>
      </w:pPr>
      <w:r>
        <w:rPr>
          <w:rFonts w:ascii="Calibri" w:cs="Calibri" w:eastAsia="Calibri" w:hAnsi="Calibri"/>
          <w:b/>
          <w:bCs/>
          <w:color w:val="1F3A5F"/>
          <w:sz w:val="24"/>
          <w:szCs w:val="24"/>
        </w:rPr>
        <w:t xml:space="preserve">10.3 Runner Acquisition</w:t>
      </w:r>
    </w:p>
    <w:p>
      <w:pPr>
        <w:spacing w:after="140" w:line="276"/>
      </w:pPr>
      <w:r>
        <w:rPr>
          <w:rFonts w:ascii="Calibri" w:cs="Calibri" w:eastAsia="Calibri" w:hAnsi="Calibri"/>
          <w:sz w:val="21"/>
          <w:szCs w:val="21"/>
        </w:rPr>
        <w:t xml:space="preserve">Target pools who already understand Nairobi's geography and pace: independent couriers, motorcycle riders, freelancers, part-time or unemployed professionals, students where appropriate, and people looking for flexible work — without compromising the verification standard to grow supply faster.</w:t>
      </w:r>
    </w:p>
    <w:p>
      <w:pPr>
        <w:pStyle w:val="Heading1"/>
        <w:pBdr>
          <w:bottom w:val="single" w:color="1F3A5F" w:sz="6" w:space="4"/>
        </w:pBdr>
        <w:spacing w:after="160" w:before="360"/>
      </w:pPr>
      <w:r>
        <w:rPr>
          <w:rFonts w:ascii="Calibri" w:cs="Calibri" w:eastAsia="Calibri" w:hAnsi="Calibri"/>
          <w:b/>
          <w:bCs/>
          <w:color w:val="1F3A5F"/>
          <w:sz w:val="30"/>
          <w:szCs w:val="30"/>
        </w:rPr>
        <w:t xml:space="preserve">11. Roadmap</w:t>
      </w:r>
    </w:p>
    <w:p>
      <w:pPr>
        <w:pStyle w:val="Heading2"/>
        <w:spacing w:after="120" w:before="260"/>
      </w:pPr>
      <w:r>
        <w:rPr>
          <w:rFonts w:ascii="Calibri" w:cs="Calibri" w:eastAsia="Calibri" w:hAnsi="Calibri"/>
          <w:b/>
          <w:bCs/>
          <w:color w:val="1F3A5F"/>
          <w:sz w:val="24"/>
          <w:szCs w:val="24"/>
        </w:rPr>
        <w:t xml:space="preserve">11.1 30-Day MVP</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Week</w:t>
            </w:r>
          </w:p>
        </w:tc>
        <w:tc>
          <w:tcPr>
            <w:tcW w:type="dxa" w:w="7200"/>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Focus</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0"/>
                <w:szCs w:val="20"/>
              </w:rPr>
              <w:t xml:space="preserve">Week 1 — Operations</w:t>
            </w:r>
          </w:p>
        </w:tc>
        <w:tc>
          <w:tcPr>
            <w:tcW w:type="dxa" w:w="7200"/>
            <w:tcMar>
              <w:top w:type="dxa" w:w="80"/>
              <w:left w:type="dxa" w:w="120"/>
              <w:bottom w:type="dxa" w:w="80"/>
              <w:right w:type="dxa" w:w="120"/>
            </w:tcMar>
          </w:tcPr>
          <w:p>
            <w:r>
              <w:rPr>
                <w:rFonts w:ascii="Calibri" w:cs="Calibri" w:eastAsia="Calibri" w:hAnsi="Calibri"/>
                <w:b w:val="false"/>
                <w:bCs w:val="false"/>
                <w:color w:val="000000"/>
                <w:sz w:val="20"/>
                <w:szCs w:val="20"/>
              </w:rPr>
              <w:t xml:space="preserve">Define services, prohibited tasks, pricing, Runner rules, cancellation and dispute policy, verification process and payment flows. Recruit first Runners.</w:t>
            </w:r>
          </w:p>
        </w:tc>
      </w:tr>
      <w:tr>
        <w:tc>
          <w:tcPr>
            <w:tcW w:type="dxa" w:w="24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Week 2 — Platform</w:t>
            </w:r>
          </w:p>
        </w:tc>
        <w:tc>
          <w:tcPr>
            <w:tcW w:type="dxa" w:w="72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Build core customer flow (register, create task, location, deadline, quote, pay, track, complete, rate), Runner flow (register, verify, view jobs, accept, navigate, update status, upload evidence, view earnings) and an admin console (users, Runners, tasks, assignment, disputes, payments).</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0"/>
                <w:szCs w:val="20"/>
              </w:rPr>
              <w:t xml:space="preserve">Week 3 — Pilot</w:t>
            </w:r>
          </w:p>
        </w:tc>
        <w:tc>
          <w:tcPr>
            <w:tcW w:type="dxa" w:w="7200"/>
            <w:tcMar>
              <w:top w:type="dxa" w:w="80"/>
              <w:left w:type="dxa" w:w="120"/>
              <w:bottom w:type="dxa" w:w="80"/>
              <w:right w:type="dxa" w:w="120"/>
            </w:tcMar>
          </w:tcPr>
          <w:p>
            <w:r>
              <w:rPr>
                <w:rFonts w:ascii="Calibri" w:cs="Calibri" w:eastAsia="Calibri" w:hAnsi="Calibri"/>
                <w:b w:val="false"/>
                <w:bCs w:val="false"/>
                <w:color w:val="000000"/>
                <w:sz w:val="20"/>
                <w:szCs w:val="20"/>
              </w:rPr>
              <w:t xml:space="preserve">Launch in one limited Nairobi area; target 50–100 real errands; watch every transaction; interview customers and Runners directly.</w:t>
            </w:r>
          </w:p>
        </w:tc>
      </w:tr>
      <w:tr>
        <w:tc>
          <w:tcPr>
            <w:tcW w:type="dxa" w:w="24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Week 4 — Fix</w:t>
            </w:r>
          </w:p>
        </w:tc>
        <w:tc>
          <w:tcPr>
            <w:tcW w:type="dxa" w:w="72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Address discovered issues in task categories, pricing, Runner supply, payments and verification gaps before expanding.</w:t>
            </w:r>
          </w:p>
        </w:tc>
      </w:tr>
    </w:tbl>
    <w:p>
      <w:pPr>
        <w:pStyle w:val="Heading2"/>
        <w:spacing w:after="120" w:before="260"/>
      </w:pPr>
      <w:r>
        <w:rPr>
          <w:rFonts w:ascii="Calibri" w:cs="Calibri" w:eastAsia="Calibri" w:hAnsi="Calibri"/>
          <w:b/>
          <w:bCs/>
          <w:color w:val="1F3A5F"/>
          <w:sz w:val="24"/>
          <w:szCs w:val="24"/>
        </w:rPr>
        <w:t xml:space="preserve">11.2 90-Day Plan</w:t>
      </w:r>
    </w:p>
    <w:p>
      <w:pPr>
        <w:pStyle w:val="ListParagraph"/>
        <w:numPr>
          <w:ilvl w:val="0"/>
          <w:numId w:val="2"/>
        </w:numPr>
        <w:spacing w:after="80" w:line="270"/>
      </w:pPr>
      <w:r>
        <w:rPr>
          <w:rFonts w:ascii="Calibri" w:cs="Calibri" w:eastAsia="Calibri" w:hAnsi="Calibri"/>
          <w:sz w:val="21"/>
          <w:szCs w:val="21"/>
        </w:rPr>
        <w:t xml:space="preserve">Month 1 — Manual/assisted marketplace, 100–300 errands.</w:t>
      </w:r>
    </w:p>
    <w:p>
      <w:pPr>
        <w:pStyle w:val="ListParagraph"/>
        <w:numPr>
          <w:ilvl w:val="0"/>
          <w:numId w:val="2"/>
        </w:numPr>
        <w:spacing w:after="80" w:line="270"/>
      </w:pPr>
      <w:r>
        <w:rPr>
          <w:rFonts w:ascii="Calibri" w:cs="Calibri" w:eastAsia="Calibri" w:hAnsi="Calibri"/>
          <w:sz w:val="21"/>
          <w:szCs w:val="21"/>
        </w:rPr>
        <w:t xml:space="preserve">Month 2 — Automate Runner matching, pricing, notifications, evidence capture and payment reconciliation; 500–1,000 errands.</w:t>
      </w:r>
    </w:p>
    <w:p>
      <w:pPr>
        <w:pStyle w:val="ListParagraph"/>
        <w:numPr>
          <w:ilvl w:val="0"/>
          <w:numId w:val="2"/>
        </w:numPr>
        <w:spacing w:after="80" w:line="270"/>
      </w:pPr>
      <w:r>
        <w:rPr>
          <w:rFonts w:ascii="Calibri" w:cs="Calibri" w:eastAsia="Calibri" w:hAnsi="Calibri"/>
          <w:sz w:val="21"/>
          <w:szCs w:val="21"/>
        </w:rPr>
        <w:t xml:space="preserve">Month 3 — Launch business accounts, recurring tasks, the diaspora landing page and referrals; begin evaluating a second city.</w:t>
      </w:r>
    </w:p>
    <w:p>
      <w:pPr>
        <w:pStyle w:val="Heading2"/>
        <w:spacing w:after="120" w:before="260"/>
      </w:pPr>
      <w:r>
        <w:rPr>
          <w:rFonts w:ascii="Calibri" w:cs="Calibri" w:eastAsia="Calibri" w:hAnsi="Calibri"/>
          <w:b/>
          <w:bCs/>
          <w:color w:val="1F3A5F"/>
          <w:sz w:val="24"/>
          <w:szCs w:val="24"/>
        </w:rPr>
        <w:t xml:space="preserve">11.3 12-Month Vision</w:t>
      </w:r>
    </w:p>
    <w:p>
      <w:pPr>
        <w:spacing w:after="140" w:line="276"/>
      </w:pPr>
      <w:r>
        <w:rPr>
          <w:rFonts w:ascii="Calibri" w:cs="Calibri" w:eastAsia="Calibri" w:hAnsi="Calibri"/>
          <w:sz w:val="21"/>
          <w:szCs w:val="21"/>
        </w:rPr>
        <w:t xml:space="preserve">A task network spanning Nairobi, Mombasa and Kisumu, expanding toward Nakuru, Eldoret and Thika, serving individual customers, diaspora customers and business accounts through the same verified Runner pool — with the beginnings of a B2B API for companies that need physical verification tasks executed at scale.</w:t>
      </w:r>
    </w:p>
    <w:p>
      <w:pPr>
        <w:pStyle w:val="Heading1"/>
        <w:pBdr>
          <w:bottom w:val="single" w:color="1F3A5F" w:sz="6" w:space="4"/>
        </w:pBdr>
        <w:spacing w:after="160" w:before="360"/>
      </w:pPr>
      <w:r>
        <w:rPr>
          <w:rFonts w:ascii="Calibri" w:cs="Calibri" w:eastAsia="Calibri" w:hAnsi="Calibri"/>
          <w:b/>
          <w:bCs/>
          <w:color w:val="1F3A5F"/>
          <w:sz w:val="30"/>
          <w:szCs w:val="30"/>
        </w:rPr>
        <w:t xml:space="preserve">12. Key Performance Indicators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Category</w:t>
            </w:r>
          </w:p>
        </w:tc>
        <w:tc>
          <w:tcPr>
            <w:tcW w:type="dxa" w:w="7200"/>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Metrics to track from day one</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0"/>
                <w:szCs w:val="20"/>
              </w:rPr>
              <w:t xml:space="preserve">Customer</w:t>
            </w:r>
          </w:p>
        </w:tc>
        <w:tc>
          <w:tcPr>
            <w:tcW w:type="dxa" w:w="7200"/>
            <w:tcMar>
              <w:top w:type="dxa" w:w="80"/>
              <w:left w:type="dxa" w:w="120"/>
              <w:bottom w:type="dxa" w:w="80"/>
              <w:right w:type="dxa" w:w="120"/>
            </w:tcMar>
          </w:tcPr>
          <w:p>
            <w:r>
              <w:rPr>
                <w:rFonts w:ascii="Calibri" w:cs="Calibri" w:eastAsia="Calibri" w:hAnsi="Calibri"/>
                <w:b w:val="false"/>
                <w:bCs w:val="false"/>
                <w:color w:val="000000"/>
                <w:sz w:val="20"/>
                <w:szCs w:val="20"/>
              </w:rPr>
              <w:t xml:space="preserve">Requests, completed errands, repeat customers, average order value, cancellation rate, customer acquisition cost.</w:t>
            </w:r>
          </w:p>
        </w:tc>
      </w:tr>
      <w:tr>
        <w:tc>
          <w:tcPr>
            <w:tcW w:type="dxa" w:w="24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Runner</w:t>
            </w:r>
          </w:p>
        </w:tc>
        <w:tc>
          <w:tcPr>
            <w:tcW w:type="dxa" w:w="72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Active Runners, acceptance rate, completion rate, average earnings, cancellation rate, average rating.</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0"/>
                <w:szCs w:val="20"/>
              </w:rPr>
              <w:t xml:space="preserve">Business</w:t>
            </w:r>
          </w:p>
        </w:tc>
        <w:tc>
          <w:tcPr>
            <w:tcW w:type="dxa" w:w="7200"/>
            <w:tcMar>
              <w:top w:type="dxa" w:w="80"/>
              <w:left w:type="dxa" w:w="120"/>
              <w:bottom w:type="dxa" w:w="80"/>
              <w:right w:type="dxa" w:w="120"/>
            </w:tcMar>
          </w:tcPr>
          <w:p>
            <w:r>
              <w:rPr>
                <w:rFonts w:ascii="Calibri" w:cs="Calibri" w:eastAsia="Calibri" w:hAnsi="Calibri"/>
                <w:b w:val="false"/>
                <w:bCs w:val="false"/>
                <w:color w:val="000000"/>
                <w:sz w:val="20"/>
                <w:szCs w:val="20"/>
              </w:rPr>
              <w:t xml:space="preserve">GMV, platform revenue, contribution margin, average errand value, repeat rate.</w:t>
            </w:r>
          </w:p>
        </w:tc>
      </w:tr>
    </w:tbl>
    <w:p>
      <w:pPr>
        <w:spacing w:after="140" w:line="276"/>
      </w:pPr>
      <w:r>
        <w:rPr>
          <w:rFonts w:ascii="Calibri" w:cs="Calibri" w:eastAsia="Calibri" w:hAnsi="Calibri"/>
          <w:sz w:val="21"/>
          <w:szCs w:val="21"/>
        </w:rPr>
        <w:t xml:space="preserve">The single most important KPI is repeat usage. A customer who uses Nitume once and never returns represents a service transaction; a customer who returns weekly represents a business.</w:t>
      </w:r>
    </w:p>
    <w:p>
      <w:pPr>
        <w:pStyle w:val="Heading1"/>
        <w:pBdr>
          <w:bottom w:val="single" w:color="1F3A5F" w:sz="6" w:space="4"/>
        </w:pBdr>
        <w:spacing w:after="160" w:before="360"/>
      </w:pPr>
      <w:r>
        <w:rPr>
          <w:rFonts w:ascii="Calibri" w:cs="Calibri" w:eastAsia="Calibri" w:hAnsi="Calibri"/>
          <w:b/>
          <w:bCs/>
          <w:color w:val="1F3A5F"/>
          <w:sz w:val="30"/>
          <w:szCs w:val="30"/>
        </w:rPr>
        <w:t xml:space="preserve">13. Risks &amp; Mitigations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6200"/>
      </w:tblGrid>
      <w:tr>
        <w:trPr>
          <w:tblHeader/>
        </w:trPr>
        <w:tc>
          <w:tcPr>
            <w:tcW w:type="dxa" w:w="3400"/>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Risk</w:t>
            </w:r>
          </w:p>
        </w:tc>
        <w:tc>
          <w:tcPr>
            <w:tcW w:type="dxa" w:w="6200"/>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Mitigation</w:t>
            </w:r>
          </w:p>
        </w:tc>
      </w:tr>
      <w:tr>
        <w:tc>
          <w:tcPr>
            <w:tcW w:type="dxa" w:w="3400"/>
            <w:tcMar>
              <w:top w:type="dxa" w:w="80"/>
              <w:left w:type="dxa" w:w="120"/>
              <w:bottom w:type="dxa" w:w="80"/>
              <w:right w:type="dxa" w:w="120"/>
            </w:tcMar>
          </w:tcPr>
          <w:p>
            <w:r>
              <w:rPr>
                <w:rFonts w:ascii="Calibri" w:cs="Calibri" w:eastAsia="Calibri" w:hAnsi="Calibri"/>
                <w:b w:val="false"/>
                <w:bCs w:val="false"/>
                <w:color w:val="000000"/>
                <w:sz w:val="20"/>
                <w:szCs w:val="20"/>
              </w:rPr>
              <w:t xml:space="preserve">Runner theft or non-delivery on advanced purchase funds</w:t>
            </w:r>
          </w:p>
        </w:tc>
        <w:tc>
          <w:tcPr>
            <w:tcW w:type="dxa" w:w="6200"/>
            <w:tcMar>
              <w:top w:type="dxa" w:w="80"/>
              <w:left w:type="dxa" w:w="120"/>
              <w:bottom w:type="dxa" w:w="80"/>
              <w:right w:type="dxa" w:w="120"/>
            </w:tcMar>
          </w:tcPr>
          <w:p>
            <w:r>
              <w:rPr>
                <w:rFonts w:ascii="Calibri" w:cs="Calibri" w:eastAsia="Calibri" w:hAnsi="Calibri"/>
                <w:b w:val="false"/>
                <w:bCs w:val="false"/>
                <w:color w:val="000000"/>
                <w:sz w:val="20"/>
                <w:szCs w:val="20"/>
              </w:rPr>
              <w:t xml:space="preserve">Tiered advance limits by trust level; merchant-direct payment required above a threshold; mandatory receipt/photo evidence; dispute process tied to evidence trail.</w:t>
            </w:r>
          </w:p>
        </w:tc>
      </w:tr>
      <w:tr>
        <w:tc>
          <w:tcPr>
            <w:tcW w:type="dxa" w:w="34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Customer disputes over task outcome</w:t>
            </w:r>
          </w:p>
        </w:tc>
        <w:tc>
          <w:tcPr>
            <w:tcW w:type="dxa" w:w="62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Structured evidence-based dispute workflow rather than unmoderated “he-said-she-said” support tickets.</w:t>
            </w:r>
          </w:p>
        </w:tc>
      </w:tr>
      <w:tr>
        <w:tc>
          <w:tcPr>
            <w:tcW w:type="dxa" w:w="3400"/>
            <w:tcMar>
              <w:top w:type="dxa" w:w="80"/>
              <w:left w:type="dxa" w:w="120"/>
              <w:bottom w:type="dxa" w:w="80"/>
              <w:right w:type="dxa" w:w="120"/>
            </w:tcMar>
          </w:tcPr>
          <w:p>
            <w:r>
              <w:rPr>
                <w:rFonts w:ascii="Calibri" w:cs="Calibri" w:eastAsia="Calibri" w:hAnsi="Calibri"/>
                <w:b w:val="false"/>
                <w:bCs w:val="false"/>
                <w:color w:val="000000"/>
                <w:sz w:val="20"/>
                <w:szCs w:val="20"/>
              </w:rPr>
              <w:t xml:space="preserve">Regulatory exposure from holding customer funds</w:t>
            </w:r>
          </w:p>
        </w:tc>
        <w:tc>
          <w:tcPr>
            <w:tcW w:type="dxa" w:w="6200"/>
            <w:tcMar>
              <w:top w:type="dxa" w:w="80"/>
              <w:left w:type="dxa" w:w="120"/>
              <w:bottom w:type="dxa" w:w="80"/>
              <w:right w:type="dxa" w:w="120"/>
            </w:tcMar>
          </w:tcPr>
          <w:p>
            <w:r>
              <w:rPr>
                <w:rFonts w:ascii="Calibri" w:cs="Calibri" w:eastAsia="Calibri" w:hAnsi="Calibri"/>
                <w:b w:val="false"/>
                <w:bCs w:val="false"/>
                <w:color w:val="000000"/>
                <w:sz w:val="20"/>
                <w:szCs w:val="20"/>
              </w:rPr>
              <w:t xml:space="preserve">Deliberate design to avoid becoming a custodian of purchase money; legal/payments review before scaling customer-to-Runner transfers.</w:t>
            </w:r>
          </w:p>
        </w:tc>
      </w:tr>
      <w:tr>
        <w:tc>
          <w:tcPr>
            <w:tcW w:type="dxa" w:w="34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Runner safety on unsafe or suspicious tasks</w:t>
            </w:r>
          </w:p>
        </w:tc>
        <w:tc>
          <w:tcPr>
            <w:tcW w:type="dxa" w:w="62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Task flagging for high-value/unusual requests; Runner right to decline without penalty.</w:t>
            </w:r>
          </w:p>
        </w:tc>
      </w:tr>
      <w:tr>
        <w:tc>
          <w:tcPr>
            <w:tcW w:type="dxa" w:w="3400"/>
            <w:tcMar>
              <w:top w:type="dxa" w:w="80"/>
              <w:left w:type="dxa" w:w="120"/>
              <w:bottom w:type="dxa" w:w="80"/>
              <w:right w:type="dxa" w:w="120"/>
            </w:tcMar>
          </w:tcPr>
          <w:p>
            <w:r>
              <w:rPr>
                <w:rFonts w:ascii="Calibri" w:cs="Calibri" w:eastAsia="Calibri" w:hAnsi="Calibri"/>
                <w:b w:val="false"/>
                <w:bCs w:val="false"/>
                <w:color w:val="000000"/>
                <w:sz w:val="20"/>
                <w:szCs w:val="20"/>
              </w:rPr>
              <w:t xml:space="preserve">Low Runner supply limiting growth</w:t>
            </w:r>
          </w:p>
        </w:tc>
        <w:tc>
          <w:tcPr>
            <w:tcW w:type="dxa" w:w="6200"/>
            <w:tcMar>
              <w:top w:type="dxa" w:w="80"/>
              <w:left w:type="dxa" w:w="120"/>
              <w:bottom w:type="dxa" w:w="80"/>
              <w:right w:type="dxa" w:w="120"/>
            </w:tcMar>
          </w:tcPr>
          <w:p>
            <w:r>
              <w:rPr>
                <w:rFonts w:ascii="Calibri" w:cs="Calibri" w:eastAsia="Calibri" w:hAnsi="Calibri"/>
                <w:b w:val="false"/>
                <w:bCs w:val="false"/>
                <w:color w:val="000000"/>
                <w:sz w:val="20"/>
                <w:szCs w:val="20"/>
              </w:rPr>
              <w:t xml:space="preserve">Phased geographic rollout so demand never outpaces verified supply in a given area.</w:t>
            </w:r>
          </w:p>
        </w:tc>
      </w:tr>
      <w:tr>
        <w:tc>
          <w:tcPr>
            <w:tcW w:type="dxa" w:w="34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Competitive copying</w:t>
            </w:r>
          </w:p>
        </w:tc>
        <w:tc>
          <w:tcPr>
            <w:tcW w:type="dxa" w:w="6200"/>
            <w:shd w:fill="F2F2F2"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Moat is the verified, rated Runner network and accumulated trust data, not the app or pricing, which are both easy to copy.</w:t>
            </w:r>
          </w:p>
        </w:tc>
      </w:tr>
    </w:tbl>
    <w:p>
      <w:pPr>
        <w:pStyle w:val="Heading1"/>
        <w:pBdr>
          <w:bottom w:val="single" w:color="1F3A5F" w:sz="6" w:space="4"/>
        </w:pBdr>
        <w:spacing w:after="160" w:before="360"/>
      </w:pPr>
      <w:r>
        <w:rPr>
          <w:rFonts w:ascii="Calibri" w:cs="Calibri" w:eastAsia="Calibri" w:hAnsi="Calibri"/>
          <w:b/>
          <w:bCs/>
          <w:color w:val="1F3A5F"/>
          <w:sz w:val="30"/>
          <w:szCs w:val="30"/>
        </w:rPr>
        <w:t xml:space="preserve">14. Immediate Next Steps</w:t>
      </w:r>
    </w:p>
    <w:p>
      <w:pPr>
        <w:pStyle w:val="ListParagraph"/>
        <w:numPr>
          <w:ilvl w:val="0"/>
          <w:numId w:val="3"/>
        </w:numPr>
        <w:spacing w:after="80" w:line="270"/>
      </w:pPr>
      <w:r>
        <w:rPr>
          <w:rFonts w:ascii="Calibri" w:cs="Calibri" w:eastAsia="Calibri" w:hAnsi="Calibri"/>
          <w:sz w:val="21"/>
          <w:szCs w:val="21"/>
        </w:rPr>
        <w:t xml:space="preserve">Finalise task categories, prohibited actions, pricing formula and cancellation/dispute policy for the Nairobi pilot.</w:t>
      </w:r>
    </w:p>
    <w:p>
      <w:pPr>
        <w:pStyle w:val="ListParagraph"/>
        <w:numPr>
          <w:ilvl w:val="0"/>
          <w:numId w:val="3"/>
        </w:numPr>
        <w:spacing w:after="80" w:line="270"/>
      </w:pPr>
      <w:r>
        <w:rPr>
          <w:rFonts w:ascii="Calibri" w:cs="Calibri" w:eastAsia="Calibri" w:hAnsi="Calibri"/>
          <w:sz w:val="21"/>
          <w:szCs w:val="21"/>
        </w:rPr>
        <w:t xml:space="preserve">Define the NestJS domain model, API contracts and database schema for Users, Errands, Payments and Evidence (Section 9.2–9.3).</w:t>
      </w:r>
    </w:p>
    <w:p>
      <w:pPr>
        <w:pStyle w:val="ListParagraph"/>
        <w:numPr>
          <w:ilvl w:val="0"/>
          <w:numId w:val="3"/>
        </w:numPr>
        <w:spacing w:after="80" w:line="270"/>
      </w:pPr>
      <w:r>
        <w:rPr>
          <w:rFonts w:ascii="Calibri" w:cs="Calibri" w:eastAsia="Calibri" w:hAnsi="Calibri"/>
          <w:sz w:val="21"/>
          <w:szCs w:val="21"/>
        </w:rPr>
        <w:t xml:space="preserve">Design the Angular customer/admin web experience and the Flutter Customer and Runner apps around the task state machine.</w:t>
      </w:r>
    </w:p>
    <w:p>
      <w:pPr>
        <w:pStyle w:val="ListParagraph"/>
        <w:numPr>
          <w:ilvl w:val="0"/>
          <w:numId w:val="3"/>
        </w:numPr>
        <w:spacing w:after="80" w:line="270"/>
      </w:pPr>
      <w:r>
        <w:rPr>
          <w:rFonts w:ascii="Calibri" w:cs="Calibri" w:eastAsia="Calibri" w:hAnsi="Calibri"/>
          <w:sz w:val="21"/>
          <w:szCs w:val="21"/>
        </w:rPr>
        <w:t xml:space="preserve">Design the Runner verification pipeline and trust-score calculation.</w:t>
      </w:r>
    </w:p>
    <w:p>
      <w:pPr>
        <w:pStyle w:val="ListParagraph"/>
        <w:numPr>
          <w:ilvl w:val="0"/>
          <w:numId w:val="3"/>
        </w:numPr>
        <w:spacing w:after="80" w:line="270"/>
      </w:pPr>
      <w:r>
        <w:rPr>
          <w:rFonts w:ascii="Calibri" w:cs="Calibri" w:eastAsia="Calibri" w:hAnsi="Calibri"/>
          <w:sz w:val="21"/>
          <w:szCs w:val="21"/>
        </w:rPr>
        <w:t xml:space="preserve">Design the payment orchestration layer (service fee / Runner fee / merchant payment) integrating M-Pesa Daraja API.</w:t>
      </w:r>
    </w:p>
    <w:p>
      <w:pPr>
        <w:pStyle w:val="ListParagraph"/>
        <w:numPr>
          <w:ilvl w:val="0"/>
          <w:numId w:val="3"/>
        </w:numPr>
        <w:spacing w:after="80" w:line="270"/>
      </w:pPr>
      <w:r>
        <w:rPr>
          <w:rFonts w:ascii="Calibri" w:cs="Calibri" w:eastAsia="Calibri" w:hAnsi="Calibri"/>
          <w:sz w:val="21"/>
          <w:szCs w:val="21"/>
        </w:rPr>
        <w:t xml:space="preserve">Recruit and verify the first cohort of Nairobi Runners and begin the 30-day MVP plan (Section 11.1).</w:t>
      </w:r>
    </w:p>
    <w:p>
      <w:pPr>
        <w:spacing w:after="140" w:line="276"/>
      </w:pPr>
      <w:r>
        <w:rPr>
          <w:rFonts w:ascii="Calibri" w:cs="Calibri" w:eastAsia="Calibri" w:hAnsi="Calibri"/>
          <w:sz w:val="21"/>
          <w:szCs w:val="21"/>
        </w:rPr>
        <w:t xml:space="preserve"/>
      </w:r>
    </w:p>
    <w:p>
      <w:pPr>
        <w:spacing w:after="140" w:line="276"/>
      </w:pPr>
      <w:r>
        <w:rPr>
          <w:rFonts w:ascii="Calibri" w:cs="Calibri" w:eastAsia="Calibri" w:hAnsi="Calibri"/>
          <w:b/>
          <w:bCs/>
          <w:sz w:val="21"/>
          <w:szCs w:val="21"/>
        </w:rPr>
        <w:t xml:space="preserve">This document is the business foundation for the next phase: a detailed system design covering the NestJS API architecture, database schema, Angular application structure, and Flutter app architecture for both the Customer and Runner apps.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Page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of </w:t>
    </w:r>
    <w:r>
      <w:rPr>
        <w:rFonts w:ascii="Calibri" w:cs="Calibri" w:eastAsia="Calibri" w:hAnsi="Calibri"/>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555555"/>
        <w:sz w:val="16"/>
        <w:szCs w:val="16"/>
      </w:rPr>
      <w:t xml:space="preserve">NITUME — 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2026-09-18T06:25:37.336Z</dcterms:created>
  <dcterms:modified xsi:type="dcterms:W3CDTF">2026-09-18T06:25:37.344Z</dcterms:modified>
</cp:coreProperties>
</file>

<file path=docProps/custom.xml><?xml version="1.0" encoding="utf-8"?>
<Properties xmlns="http://schemas.openxmlformats.org/officeDocument/2006/custom-properties" xmlns:vt="http://schemas.openxmlformats.org/officeDocument/2006/docPropsVTypes"/>
</file>