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90" w:rsidRDefault="00410AB6">
      <w:r>
        <w:rPr>
          <w:rFonts w:hint="eastAsia"/>
        </w:rPr>
        <w:t>1</w:t>
      </w:r>
      <w:r w:rsidR="00A60B90">
        <w:rPr>
          <w:rFonts w:hint="eastAsia"/>
        </w:rPr>
        <w:t>.</w:t>
      </w:r>
      <w:r w:rsidR="00A60B90">
        <w:rPr>
          <w:rFonts w:hint="eastAsia"/>
        </w:rPr>
        <w:t>入库单</w:t>
      </w:r>
    </w:p>
    <w:p w:rsidR="00A60B90" w:rsidRDefault="00A60B90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采购入库单中的金额为</w:t>
      </w:r>
      <w:r w:rsidRPr="00A60B90">
        <w:rPr>
          <w:rFonts w:hint="eastAsia"/>
          <w:color w:val="FF0000"/>
        </w:rPr>
        <w:t>含税金额</w:t>
      </w:r>
      <w:r w:rsidR="00553AA7">
        <w:rPr>
          <w:rFonts w:hint="eastAsia"/>
          <w:color w:val="FF0000"/>
        </w:rPr>
        <w:t>，单价指的是含税进价</w:t>
      </w:r>
    </w:p>
    <w:p w:rsidR="003F4FAD" w:rsidRDefault="003F4FAD"/>
    <w:p w:rsidR="003F4FAD" w:rsidRDefault="008C6A07" w:rsidP="008C6A07">
      <w:pPr>
        <w:widowControl/>
        <w:jc w:val="left"/>
      </w:pPr>
      <w:r>
        <w:rPr>
          <w:rFonts w:hint="eastAsia"/>
        </w:rPr>
        <w:t>2.</w:t>
      </w:r>
      <w:r w:rsidR="000C20D8">
        <w:rPr>
          <w:rFonts w:hint="eastAsia"/>
        </w:rPr>
        <w:t>采购业务</w:t>
      </w:r>
      <w:r w:rsidR="007B53B5">
        <w:rPr>
          <w:rFonts w:hint="eastAsia"/>
        </w:rPr>
        <w:t>财务</w:t>
      </w:r>
      <w:r w:rsidR="000C20D8">
        <w:rPr>
          <w:rFonts w:hint="eastAsia"/>
        </w:rPr>
        <w:t>处理流程</w:t>
      </w:r>
    </w:p>
    <w:p w:rsidR="00B0092C" w:rsidRDefault="00101732">
      <w:pPr>
        <w:widowControl/>
        <w:jc w:val="left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3" type="#_x0000_t22" style="position:absolute;margin-left:609.35pt;margin-top:105.2pt;width:62.55pt;height:78.95pt;z-index:251728896" fillcolor="white [3201]" strokecolor="#f79646 [3209]" strokeweight="2.5pt">
            <v:shadow color="#868686"/>
            <v:textbox>
              <w:txbxContent>
                <w:p w:rsidR="00101732" w:rsidRDefault="00101732" w:rsidP="0010173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生成采购发票凭证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559.55pt;margin-top:132.65pt;width:49.8pt;height:0;z-index:251727872" o:connectortype="straight">
            <v:stroke endarrow="block"/>
          </v:shape>
        </w:pict>
      </w:r>
      <w:r w:rsidR="00DA6411">
        <w:rPr>
          <w:noProof/>
        </w:rPr>
        <w:pict>
          <v:group id="_x0000_s1083" style="position:absolute;margin-left:25.5pt;margin-top:18.25pt;width:544.15pt;height:296.75pt;z-index:251699200" coordorigin="2204,2354" coordsize="10883,5935">
            <v:shape id="_x0000_s1084" type="#_x0000_t32" style="position:absolute;left:9946;top:5103;width:0;height:668" o:connectortype="straight">
              <v:stroke endarrow="block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85" type="#_x0000_t63" style="position:absolute;left:10923;top:5504;width:1023;height:879" adj="-20608,-3809" fillcolor="white [3201]" strokecolor="#8064a2 [3207]" strokeweight="1pt">
              <v:stroke dashstyle="dash"/>
              <v:shadow color="#868686"/>
              <v:textbox style="mso-next-textbox:#_x0000_s1085">
                <w:txbxContent>
                  <w:p w:rsidR="00B0092C" w:rsidRPr="00D90B4A" w:rsidRDefault="00B0092C" w:rsidP="00B0092C">
                    <w:pPr>
                      <w:rPr>
                        <w:sz w:val="15"/>
                        <w:szCs w:val="15"/>
                      </w:rPr>
                    </w:pPr>
                    <w:r w:rsidRPr="00D90B4A">
                      <w:rPr>
                        <w:rFonts w:hint="eastAsia"/>
                        <w:sz w:val="15"/>
                        <w:szCs w:val="15"/>
                      </w:rPr>
                      <w:t>不通过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86" type="#_x0000_t176" style="position:absolute;left:2204;top:4305;width:1440;height:960">
              <v:textbox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采购入库单</w:t>
                    </w:r>
                  </w:p>
                </w:txbxContent>
              </v:textbox>
            </v:shape>
            <v:shape id="_x0000_s1087" type="#_x0000_t176" style="position:absolute;left:4358;top:4244;width:1440;height:960">
              <v:textbox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采购成本单</w:t>
                    </w:r>
                  </w:p>
                </w:txbxContent>
              </v:textbox>
            </v:shape>
            <v:shape id="_x0000_s1088" type="#_x0000_t32" style="position:absolute;left:3644;top:4718;width:714;height:0" o:connectortype="straight">
              <v:stroke endarrow="block"/>
            </v:shape>
            <v:shape id="_x0000_s1089" type="#_x0000_t176" style="position:absolute;left:6777;top:4305;width:1440;height:960">
              <v:textbox style="mso-next-textbox:#_x0000_s1089"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采购发票申请单</w:t>
                    </w:r>
                  </w:p>
                </w:txbxContent>
              </v:textbox>
            </v:shape>
            <v:shape id="_x0000_s1090" type="#_x0000_t32" style="position:absolute;left:5798;top:4718;width:979;height:0" o:connectortype="straight">
              <v:stroke endarrow="block"/>
            </v:shape>
            <v:shape id="_x0000_s1091" type="#_x0000_t63" style="position:absolute;left:4771;top:2780;width:2366;height:1464" adj="2702,23459" fillcolor="white [3201]" strokecolor="#4bacc6 [3208]" strokeweight="1pt">
              <v:stroke dashstyle="dash"/>
              <v:shadow color="#868686"/>
              <v:textbox style="mso-next-textbox:#_x0000_s1091">
                <w:txbxContent>
                  <w:p w:rsidR="00B0092C" w:rsidRPr="00E70C32" w:rsidRDefault="00291F68" w:rsidP="00B0092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财务</w:t>
                    </w:r>
                    <w:r w:rsidR="00B0092C" w:rsidRPr="00E70C32">
                      <w:rPr>
                        <w:rFonts w:hint="eastAsia"/>
                        <w:sz w:val="15"/>
                        <w:szCs w:val="15"/>
                      </w:rPr>
                      <w:t>结算基础单据</w:t>
                    </w:r>
                    <w:r w:rsidR="00B0092C">
                      <w:rPr>
                        <w:rFonts w:hint="eastAsia"/>
                        <w:sz w:val="15"/>
                        <w:szCs w:val="15"/>
                      </w:rPr>
                      <w:t>，可对入库金额根据实际情况调整。</w:t>
                    </w:r>
                  </w:p>
                </w:txbxContent>
              </v:textbox>
            </v:shape>
            <v:shape id="_x0000_s1092" type="#_x0000_t63" style="position:absolute;left:7297;top:2354;width:2069;height:1540" adj="3362,27449" fillcolor="white [3201]" strokecolor="#4bacc6 [3208]" strokeweight="1pt">
              <v:stroke dashstyle="dash"/>
              <v:shadow color="#868686"/>
              <v:textbox style="mso-next-textbox:#_x0000_s1092">
                <w:txbxContent>
                  <w:p w:rsidR="00B0092C" w:rsidRPr="00E70C32" w:rsidRDefault="00B0092C" w:rsidP="00B0092C">
                    <w:pPr>
                      <w:rPr>
                        <w:sz w:val="15"/>
                        <w:szCs w:val="15"/>
                      </w:rPr>
                    </w:pPr>
                    <w:r w:rsidRPr="00E70C32">
                      <w:rPr>
                        <w:rFonts w:hint="eastAsia"/>
                        <w:sz w:val="15"/>
                        <w:szCs w:val="15"/>
                      </w:rPr>
                      <w:t>可对采购成本单进行合并、拆分等处理后生成发票申请单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93" type="#_x0000_t110" style="position:absolute;left:9279;top:4379;width:1353;height:724">
              <v:textbox style="mso-next-textbox:#_x0000_s1093"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审核</w:t>
                    </w:r>
                  </w:p>
                </w:txbxContent>
              </v:textbox>
            </v:shape>
            <v:shape id="_x0000_s1094" type="#_x0000_t32" style="position:absolute;left:8217;top:4718;width:1062;height:0" o:connectortype="straight">
              <v:stroke endarrow="block"/>
            </v:shape>
            <v:shape id="_x0000_s1095" type="#_x0000_t32" style="position:absolute;left:10632;top:4718;width:813;height:0" o:connectortype="straight">
              <v:stroke endarrow="block"/>
            </v:shape>
            <v:shape id="_x0000_s1096" type="#_x0000_t176" style="position:absolute;left:11445;top:4305;width:1440;height:960">
              <v:textbox style="mso-next-textbox:#_x0000_s1096">
                <w:txbxContent>
                  <w:p w:rsidR="00B0092C" w:rsidRDefault="00B0092C" w:rsidP="00291F68">
                    <w:pPr>
                      <w:jc w:val="center"/>
                    </w:pPr>
                    <w:r>
                      <w:rPr>
                        <w:rFonts w:hint="eastAsia"/>
                      </w:rPr>
                      <w:t>采购发票单</w:t>
                    </w:r>
                  </w:p>
                </w:txbxContent>
              </v:textbox>
            </v:shape>
            <v:shape id="_x0000_s1097" type="#_x0000_t176" style="position:absolute;left:9453;top:5771;width:1052;height:612" fillcolor="white [3201]" strokecolor="#f79646 [3209]" strokeweight="1pt">
              <v:stroke dashstyle="dash"/>
              <v:shadow color="#868686"/>
              <v:textbox>
                <w:txbxContent>
                  <w:p w:rsidR="00B0092C" w:rsidRDefault="00B0092C" w:rsidP="00B0092C">
                    <w:pPr>
                      <w:jc w:val="center"/>
                    </w:pPr>
                    <w:r>
                      <w:rPr>
                        <w:rFonts w:hint="eastAsia"/>
                      </w:rPr>
                      <w:t>作废</w:t>
                    </w:r>
                  </w:p>
                </w:txbxContent>
              </v:textbox>
            </v:shape>
            <v:shape id="_x0000_s1098" type="#_x0000_t63" style="position:absolute;left:10632;top:3693;width:988;height:551" adj="1355,41044" fillcolor="white [3201]" strokecolor="#8064a2 [3207]" strokeweight="1pt">
              <v:stroke dashstyle="dash"/>
              <v:shadow color="#868686"/>
              <v:textbox>
                <w:txbxContent>
                  <w:p w:rsidR="00B0092C" w:rsidRDefault="00B0092C" w:rsidP="00B0092C">
                    <w:r w:rsidRPr="00E70C32">
                      <w:rPr>
                        <w:rFonts w:hint="eastAsia"/>
                        <w:sz w:val="15"/>
                        <w:szCs w:val="15"/>
                      </w:rPr>
                      <w:t>通过</w:t>
                    </w:r>
                  </w:p>
                </w:txbxContent>
              </v:textbox>
            </v:shape>
            <v:shape id="_x0000_s1099" type="#_x0000_t32" style="position:absolute;left:12497;top:5265;width:0;height:1519" o:connectortype="straight">
              <v:stroke endarrow="block"/>
            </v:shape>
            <v:shape id="_x0000_s1100" type="#_x0000_t176" style="position:absolute;left:12035;top:6784;width:1052;height:612" fillcolor="white [3201]" strokecolor="#f79646 [3209]" strokeweight="1pt">
              <v:stroke dashstyle="dash"/>
              <v:shadow color="#868686"/>
              <v:textbox>
                <w:txbxContent>
                  <w:p w:rsidR="00B0092C" w:rsidRDefault="00B0092C" w:rsidP="00B0092C">
                    <w:pPr>
                      <w:jc w:val="center"/>
                    </w:pPr>
                    <w:r>
                      <w:rPr>
                        <w:rFonts w:hint="eastAsia"/>
                      </w:rPr>
                      <w:t>红冲</w:t>
                    </w:r>
                  </w:p>
                </w:txbxContent>
              </v:textbox>
            </v:shape>
            <v:shape id="_x0000_s1101" type="#_x0000_t176" style="position:absolute;left:6777;top:5672;width:1440;height:960">
              <v:textbox style="mso-next-textbox:#_x0000_s1101"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采购付款</w:t>
                    </w:r>
                  </w:p>
                </w:txbxContent>
              </v:textbox>
            </v:shape>
            <v:shape id="_x0000_s1102" type="#_x0000_t176" style="position:absolute;left:4358;top:6784;width:1440;height:960">
              <v:textbox style="mso-next-textbox:#_x0000_s1102">
                <w:txbxContent>
                  <w:p w:rsidR="00B0092C" w:rsidRDefault="00B0092C" w:rsidP="00B0092C">
                    <w:r>
                      <w:rPr>
                        <w:rFonts w:hint="eastAsia"/>
                      </w:rPr>
                      <w:t>采购预付款</w:t>
                    </w:r>
                  </w:p>
                </w:txbxContent>
              </v:textbox>
            </v:shape>
            <v:shape id="_x0000_s1103" type="#_x0000_t32" style="position:absolute;left:5798;top:5103;width:979;height:1058" o:connectortype="straight">
              <v:stroke endarrow="block"/>
            </v:shape>
            <v:shape id="_x0000_s1104" type="#_x0000_t32" style="position:absolute;left:5798;top:6161;width:979;height:999;flip:y" o:connectortype="straight">
              <v:stroke endarrow="block"/>
            </v:shape>
            <v:shape id="_x0000_s1105" type="#_x0000_t63" style="position:absolute;left:7690;top:6874;width:2064;height:1415" adj="1266,-3587" fillcolor="white [3201]" strokecolor="#4bacc6 [3208]" strokeweight="1pt">
              <v:stroke dashstyle="dash"/>
              <v:shadow color="#868686"/>
              <v:textbox style="mso-next-textbox:#_x0000_s1105">
                <w:txbxContent>
                  <w:p w:rsidR="00B0092C" w:rsidRPr="00E70C32" w:rsidRDefault="00B0092C" w:rsidP="00B0092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采购预付金额与采购成本单金额相同，勾兑付款</w:t>
                    </w:r>
                  </w:p>
                </w:txbxContent>
              </v:textbox>
            </v:shape>
          </v:group>
        </w:pict>
      </w:r>
      <w:r w:rsidR="00B0092C">
        <w:br w:type="page"/>
      </w:r>
    </w:p>
    <w:p w:rsidR="000C20D8" w:rsidRDefault="00B0092C">
      <w:r>
        <w:rPr>
          <w:rFonts w:hint="eastAsia"/>
        </w:rPr>
        <w:lastRenderedPageBreak/>
        <w:t>3.</w:t>
      </w:r>
      <w:r>
        <w:rPr>
          <w:rFonts w:hint="eastAsia"/>
        </w:rPr>
        <w:t>销售业务处理流程</w:t>
      </w:r>
    </w:p>
    <w:p w:rsidR="00B0092C" w:rsidRDefault="008E45C9">
      <w:r>
        <w:rPr>
          <w:noProof/>
        </w:rPr>
        <w:pict>
          <v:shape id="_x0000_s1032" type="#_x0000_t63" style="position:absolute;left:0;text-align:left;margin-left:268.15pt;margin-top:6.25pt;width:103.45pt;height:77pt;z-index:251708416" o:regroupid="2" adj="3362,27449" fillcolor="white [3201]" strokecolor="#4bacc6 [3208]" strokeweight="1pt">
            <v:stroke dashstyle="dash"/>
            <v:shadow color="#868686"/>
            <v:textbox style="mso-next-textbox:#_x0000_s1032">
              <w:txbxContent>
                <w:p w:rsidR="00220411" w:rsidRPr="00E70C32" w:rsidRDefault="00CA290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可对销售</w:t>
                  </w:r>
                  <w:r w:rsidR="00220411" w:rsidRPr="00E70C32">
                    <w:rPr>
                      <w:rFonts w:hint="eastAsia"/>
                      <w:sz w:val="15"/>
                      <w:szCs w:val="15"/>
                    </w:rPr>
                    <w:t>单进行合并、拆分等处理后生成发票申请单</w:t>
                  </w:r>
                </w:p>
              </w:txbxContent>
            </v:textbox>
          </v:shape>
        </w:pict>
      </w:r>
    </w:p>
    <w:p w:rsidR="009A22AB" w:rsidRDefault="008E45C9">
      <w:r>
        <w:rPr>
          <w:noProof/>
        </w:rPr>
        <w:pict>
          <v:shape id="_x0000_s1031" type="#_x0000_t63" style="position:absolute;left:0;text-align:left;margin-left:141.85pt;margin-top:11.95pt;width:118.3pt;height:73.2pt;z-index:251707392" o:regroupid="2" adj="2702,23459" fillcolor="white [3201]" strokecolor="#4bacc6 [3208]" strokeweight="1pt">
            <v:stroke dashstyle="dash"/>
            <v:shadow color="#868686"/>
            <v:textbox style="mso-next-textbox:#_x0000_s1031">
              <w:txbxContent>
                <w:p w:rsidR="00307F81" w:rsidRPr="00E70C32" w:rsidRDefault="0037498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财务</w:t>
                  </w:r>
                  <w:r w:rsidR="00307F81" w:rsidRPr="00E70C32">
                    <w:rPr>
                      <w:rFonts w:hint="eastAsia"/>
                      <w:sz w:val="15"/>
                      <w:szCs w:val="15"/>
                    </w:rPr>
                    <w:t>结算基础单据</w:t>
                  </w:r>
                  <w:r w:rsidR="00C97A68">
                    <w:rPr>
                      <w:rFonts w:hint="eastAsia"/>
                      <w:sz w:val="15"/>
                      <w:szCs w:val="15"/>
                    </w:rPr>
                    <w:t>，可对出</w:t>
                  </w:r>
                  <w:r w:rsidR="00174270">
                    <w:rPr>
                      <w:rFonts w:hint="eastAsia"/>
                      <w:sz w:val="15"/>
                      <w:szCs w:val="15"/>
                    </w:rPr>
                    <w:t>库金额根据实际情况调整。</w:t>
                  </w:r>
                </w:p>
              </w:txbxContent>
            </v:textbox>
          </v:shape>
        </w:pict>
      </w:r>
    </w:p>
    <w:p w:rsidR="008C6A07" w:rsidRDefault="005C7771">
      <w:pPr>
        <w:widowControl/>
        <w:jc w:val="left"/>
      </w:pPr>
      <w:r>
        <w:rPr>
          <w:noProof/>
        </w:rPr>
        <w:pict>
          <v:shape id="_x0000_s1111" type="#_x0000_t22" style="position:absolute;margin-left:597.35pt;margin-top:62pt;width:62.55pt;height:78.95pt;z-index:251726848" fillcolor="white [3201]" strokecolor="#f79646 [3209]" strokeweight="2.5pt">
            <v:shadow color="#868686"/>
            <v:textbox>
              <w:txbxContent>
                <w:p w:rsidR="005C7771" w:rsidRDefault="005C777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生成销售发票凭证</w:t>
                  </w:r>
                </w:p>
              </w:txbxContent>
            </v:textbox>
          </v:shape>
        </w:pict>
      </w:r>
      <w:r w:rsidR="00CA2FBB">
        <w:rPr>
          <w:noProof/>
        </w:rPr>
        <w:pict>
          <v:shape id="_x0000_s1110" type="#_x0000_t32" style="position:absolute;margin-left:547.55pt;margin-top:89.45pt;width:49.8pt;height:0;z-index:251725824" o:connectortype="straight">
            <v:stroke endarrow="block"/>
          </v:shape>
        </w:pict>
      </w:r>
      <w:r w:rsidR="00CF7F83">
        <w:rPr>
          <w:noProof/>
        </w:rPr>
        <w:pict>
          <v:shape id="_x0000_s1109" type="#_x0000_t63" style="position:absolute;margin-left:66.35pt;margin-top:253.9pt;width:75.5pt;height:55.7pt;flip:x;z-index:251724800" adj="16278,-13476" fillcolor="white [3201]" strokecolor="#8064a2 [3207]" strokeweight="1pt">
            <v:stroke dashstyle="dash"/>
            <v:shadow color="#868686"/>
            <v:textbox style="mso-next-textbox:#_x0000_s1109">
              <w:txbxContent>
                <w:p w:rsidR="00CF7F83" w:rsidRPr="00D90B4A" w:rsidRDefault="00CF7F83" w:rsidP="00CF7F8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认领可转客户预收款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108" type="#_x0000_t32" style="position:absolute;margin-left:77.5pt;margin-top:221.35pt;width:43.7pt;height:0;z-index:251723776" o:connectortype="straight">
            <v:stroke endarrow="block"/>
          </v:shape>
        </w:pict>
      </w:r>
      <w:r w:rsidR="008E45C9">
        <w:rPr>
          <w:noProof/>
        </w:rPr>
        <w:pict>
          <v:shape id="_x0000_s1107" type="#_x0000_t176" style="position:absolute;margin-left:5.5pt;margin-top:196.55pt;width:1in;height:48pt;z-index:251722752">
            <v:textbox style="mso-next-textbox:#_x0000_s1107">
              <w:txbxContent>
                <w:p w:rsidR="008E45C9" w:rsidRDefault="008E45C9" w:rsidP="008E45C9">
                  <w:r>
                    <w:rPr>
                      <w:rFonts w:hint="eastAsia"/>
                    </w:rPr>
                    <w:t>银行打款导入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58" type="#_x0000_t63" style="position:absolute;margin-left:287.8pt;margin-top:201.05pt;width:103.2pt;height:70.75pt;z-index:251721728" o:regroupid="2" adj="1266,-3587" fillcolor="white [3201]" strokecolor="#4bacc6 [3208]" strokeweight="1pt">
            <v:stroke dashstyle="dash"/>
            <v:shadow color="#868686"/>
            <v:textbox style="mso-next-textbox:#_x0000_s1058">
              <w:txbxContent>
                <w:p w:rsidR="000F7779" w:rsidRPr="00E70C32" w:rsidRDefault="00227CE9" w:rsidP="000F7779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销售预收</w:t>
                  </w:r>
                  <w:r w:rsidR="000F7779">
                    <w:rPr>
                      <w:rFonts w:hint="eastAsia"/>
                      <w:sz w:val="15"/>
                      <w:szCs w:val="15"/>
                    </w:rPr>
                    <w:t>金额与</w:t>
                  </w:r>
                  <w:r>
                    <w:rPr>
                      <w:rFonts w:hint="eastAsia"/>
                      <w:sz w:val="15"/>
                      <w:szCs w:val="15"/>
                    </w:rPr>
                    <w:t>销售</w:t>
                  </w:r>
                  <w:r w:rsidR="000F7779">
                    <w:rPr>
                      <w:rFonts w:hint="eastAsia"/>
                      <w:sz w:val="15"/>
                      <w:szCs w:val="15"/>
                    </w:rPr>
                    <w:t>单金额相同，勾兑付款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57" type="#_x0000_t32" style="position:absolute;margin-left:193.2pt;margin-top:165.4pt;width:48.95pt;height:49.95pt;flip:y;z-index:251720704" o:connectortype="straight" o:regroupid="2">
            <v:stroke endarrow="block"/>
          </v:shape>
        </w:pict>
      </w:r>
      <w:r w:rsidR="008E45C9">
        <w:rPr>
          <w:noProof/>
        </w:rPr>
        <w:pict>
          <v:shape id="_x0000_s1056" type="#_x0000_t32" style="position:absolute;margin-left:193.2pt;margin-top:112.5pt;width:48.95pt;height:52.9pt;z-index:251719680" o:connectortype="straight" o:regroupid="2">
            <v:stroke endarrow="block"/>
          </v:shape>
        </w:pict>
      </w:r>
      <w:r w:rsidR="008E45C9">
        <w:rPr>
          <w:noProof/>
        </w:rPr>
        <w:pict>
          <v:shape id="_x0000_s1055" type="#_x0000_t176" style="position:absolute;margin-left:121.2pt;margin-top:196.55pt;width:1in;height:48pt;z-index:251718656" o:regroupid="2">
            <v:textbox style="mso-next-textbox:#_x0000_s1055">
              <w:txbxContent>
                <w:p w:rsidR="00907E7F" w:rsidRDefault="00B0092C" w:rsidP="00907E7F">
                  <w:r>
                    <w:rPr>
                      <w:rFonts w:hint="eastAsia"/>
                    </w:rPr>
                    <w:t>销售</w:t>
                  </w:r>
                  <w:r w:rsidR="00907E7F">
                    <w:rPr>
                      <w:rFonts w:hint="eastAsia"/>
                    </w:rPr>
                    <w:t>预</w:t>
                  </w:r>
                  <w:r>
                    <w:rPr>
                      <w:rFonts w:hint="eastAsia"/>
                    </w:rPr>
                    <w:t>收</w:t>
                  </w:r>
                  <w:r w:rsidR="00907E7F">
                    <w:rPr>
                      <w:rFonts w:hint="eastAsia"/>
                    </w:rPr>
                    <w:t>款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54" type="#_x0000_t176" style="position:absolute;margin-left:242.15pt;margin-top:140.95pt;width:1in;height:48pt;z-index:251717632" o:regroupid="2">
            <v:textbox style="mso-next-textbox:#_x0000_s1054">
              <w:txbxContent>
                <w:p w:rsidR="00B87951" w:rsidRDefault="00B0092C" w:rsidP="00B87951">
                  <w:r>
                    <w:rPr>
                      <w:rFonts w:hint="eastAsia"/>
                    </w:rPr>
                    <w:t>回款</w:t>
                  </w:r>
                  <w:r w:rsidR="00961FF9">
                    <w:rPr>
                      <w:rFonts w:hint="eastAsia"/>
                    </w:rPr>
                    <w:t>收</w:t>
                  </w:r>
                  <w:r w:rsidR="00B87951">
                    <w:rPr>
                      <w:rFonts w:hint="eastAsia"/>
                    </w:rPr>
                    <w:t>款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52" type="#_x0000_t176" style="position:absolute;margin-left:505.05pt;margin-top:196.55pt;width:52.6pt;height:30.6pt;z-index:251716608" o:regroupid="2" fillcolor="white [3201]" strokecolor="#f79646 [3209]" strokeweight="1pt">
            <v:stroke dashstyle="dash"/>
            <v:shadow color="#868686"/>
            <v:textbox>
              <w:txbxContent>
                <w:p w:rsidR="00343F91" w:rsidRDefault="00343F91" w:rsidP="00B42AD9">
                  <w:pPr>
                    <w:jc w:val="center"/>
                  </w:pPr>
                  <w:r>
                    <w:rPr>
                      <w:rFonts w:hint="eastAsia"/>
                    </w:rPr>
                    <w:t>红冲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51" type="#_x0000_t32" style="position:absolute;margin-left:528.15pt;margin-top:120.6pt;width:0;height:75.95pt;z-index:251715584" o:connectortype="straight" o:regroupid="2">
            <v:stroke endarrow="block"/>
          </v:shape>
        </w:pict>
      </w:r>
      <w:r w:rsidR="008E45C9">
        <w:rPr>
          <w:noProof/>
        </w:rPr>
        <w:pict>
          <v:shape id="_x0000_s1046" type="#_x0000_t63" style="position:absolute;margin-left:434.9pt;margin-top:42pt;width:49.4pt;height:27.55pt;z-index:251714560" o:regroupid="2" adj="1355,41044" fillcolor="white [3201]" strokecolor="#8064a2 [3207]" strokeweight="1pt">
            <v:stroke dashstyle="dash"/>
            <v:shadow color="#868686"/>
            <v:textbox>
              <w:txbxContent>
                <w:p w:rsidR="00B22224" w:rsidRDefault="00B22224">
                  <w:r w:rsidRPr="00E70C32">
                    <w:rPr>
                      <w:rFonts w:hint="eastAsia"/>
                      <w:sz w:val="15"/>
                      <w:szCs w:val="15"/>
                    </w:rPr>
                    <w:t>通过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45" type="#_x0000_t176" style="position:absolute;margin-left:375.95pt;margin-top:145.9pt;width:52.6pt;height:30.6pt;z-index:251713536" o:regroupid="2" fillcolor="white [3201]" strokecolor="#f79646 [3209]" strokeweight="1pt">
            <v:stroke dashstyle="dash"/>
            <v:shadow color="#868686"/>
            <v:textbox>
              <w:txbxContent>
                <w:p w:rsidR="008C1534" w:rsidRDefault="008C1534" w:rsidP="00B42AD9">
                  <w:pPr>
                    <w:jc w:val="center"/>
                  </w:pPr>
                  <w:r>
                    <w:rPr>
                      <w:rFonts w:hint="eastAsia"/>
                    </w:rPr>
                    <w:t>作废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40" type="#_x0000_t176" style="position:absolute;margin-left:475.55pt;margin-top:72.6pt;width:1in;height:48pt;z-index:251712512" o:regroupid="2">
            <v:textbox style="mso-next-textbox:#_x0000_s1040">
              <w:txbxContent>
                <w:p w:rsidR="00ED711E" w:rsidRDefault="000909FC" w:rsidP="00ED711E">
                  <w:r>
                    <w:rPr>
                      <w:rFonts w:hint="eastAsia"/>
                    </w:rPr>
                    <w:t>销售</w:t>
                  </w:r>
                  <w:r w:rsidR="00ED711E">
                    <w:rPr>
                      <w:rFonts w:hint="eastAsia"/>
                    </w:rPr>
                    <w:t>发票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35" type="#_x0000_t32" style="position:absolute;margin-left:434.9pt;margin-top:93.25pt;width:40.65pt;height:0;z-index:251711488" o:connectortype="straight" o:regroupid="2">
            <v:stroke endarrow="block"/>
          </v:shape>
        </w:pict>
      </w:r>
      <w:r w:rsidR="008E45C9">
        <w:rPr>
          <w:noProof/>
        </w:rPr>
        <w:pict>
          <v:shape id="_x0000_s1034" type="#_x0000_t32" style="position:absolute;margin-left:314.15pt;margin-top:93.25pt;width:53.1pt;height:0;z-index:251710464" o:connectortype="straight" o:regroupid="2">
            <v:stroke endarrow="block"/>
          </v:shape>
        </w:pict>
      </w:r>
      <w:r w:rsidR="008E45C9">
        <w:rPr>
          <w:noProof/>
        </w:rPr>
        <w:pict>
          <v:shape id="_x0000_s1033" type="#_x0000_t110" style="position:absolute;margin-left:367.25pt;margin-top:76.3pt;width:67.65pt;height:36.2pt;z-index:251709440" o:regroupid="2">
            <v:textbox style="mso-next-textbox:#_x0000_s1033">
              <w:txbxContent>
                <w:p w:rsidR="00F1679A" w:rsidRDefault="00F1679A">
                  <w:r>
                    <w:rPr>
                      <w:rFonts w:hint="eastAsia"/>
                    </w:rPr>
                    <w:t>审核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30" type="#_x0000_t32" style="position:absolute;margin-left:193.2pt;margin-top:93.25pt;width:48.95pt;height:0;z-index:251706368" o:connectortype="straight" o:regroupid="2">
            <v:stroke endarrow="block"/>
          </v:shape>
        </w:pict>
      </w:r>
      <w:r w:rsidR="008E45C9">
        <w:rPr>
          <w:noProof/>
        </w:rPr>
        <w:pict>
          <v:shape id="_x0000_s1029" type="#_x0000_t176" style="position:absolute;margin-left:242.15pt;margin-top:72.6pt;width:1in;height:48pt;z-index:251705344" o:regroupid="2">
            <v:textbox style="mso-next-textbox:#_x0000_s1029">
              <w:txbxContent>
                <w:p w:rsidR="00A16138" w:rsidRDefault="00B0092C" w:rsidP="00A16138">
                  <w:r>
                    <w:rPr>
                      <w:rFonts w:hint="eastAsia"/>
                    </w:rPr>
                    <w:t>销售</w:t>
                  </w:r>
                  <w:r w:rsidR="00A16138">
                    <w:rPr>
                      <w:rFonts w:hint="eastAsia"/>
                    </w:rPr>
                    <w:t>发票申请单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28" type="#_x0000_t32" style="position:absolute;margin-left:85.5pt;margin-top:93.25pt;width:35.7pt;height:0;z-index:251704320" o:connectortype="straight" o:regroupid="2">
            <v:stroke endarrow="block"/>
          </v:shape>
        </w:pict>
      </w:r>
      <w:r w:rsidR="008E45C9">
        <w:rPr>
          <w:noProof/>
        </w:rPr>
        <w:pict>
          <v:shape id="_x0000_s1027" type="#_x0000_t176" style="position:absolute;margin-left:121.2pt;margin-top:69.55pt;width:1in;height:48pt;z-index:251703296" o:regroupid="2">
            <v:textbox>
              <w:txbxContent>
                <w:p w:rsidR="008A1916" w:rsidRDefault="00B0092C">
                  <w:r>
                    <w:rPr>
                      <w:rFonts w:hint="eastAsia"/>
                    </w:rPr>
                    <w:t>销售</w:t>
                  </w:r>
                  <w:r w:rsidR="008A1916">
                    <w:rPr>
                      <w:rFonts w:hint="eastAsia"/>
                    </w:rPr>
                    <w:t>单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26" type="#_x0000_t176" style="position:absolute;margin-left:13.5pt;margin-top:72.6pt;width:1in;height:48pt;z-index:251702272" o:regroupid="2">
            <v:textbox>
              <w:txbxContent>
                <w:p w:rsidR="008A1916" w:rsidRDefault="00B0092C">
                  <w:r>
                    <w:rPr>
                      <w:rFonts w:hint="eastAsia"/>
                    </w:rPr>
                    <w:t>出库</w:t>
                  </w:r>
                  <w:r w:rsidR="008A1916">
                    <w:rPr>
                      <w:rFonts w:hint="eastAsia"/>
                    </w:rPr>
                    <w:t>单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47" type="#_x0000_t63" style="position:absolute;margin-left:449.45pt;margin-top:132.55pt;width:51.15pt;height:43.95pt;z-index:251701248" o:regroupid="2" adj="-20608,-3809" fillcolor="white [3201]" strokecolor="#8064a2 [3207]" strokeweight="1pt">
            <v:stroke dashstyle="dash"/>
            <v:shadow color="#868686"/>
            <v:textbox style="mso-next-textbox:#_x0000_s1047">
              <w:txbxContent>
                <w:p w:rsidR="00F363ED" w:rsidRPr="00D90B4A" w:rsidRDefault="00F363ED">
                  <w:pPr>
                    <w:rPr>
                      <w:sz w:val="15"/>
                      <w:szCs w:val="15"/>
                    </w:rPr>
                  </w:pPr>
                  <w:r w:rsidRPr="00D90B4A">
                    <w:rPr>
                      <w:rFonts w:hint="eastAsia"/>
                      <w:sz w:val="15"/>
                      <w:szCs w:val="15"/>
                    </w:rPr>
                    <w:t>不通过</w:t>
                  </w:r>
                </w:p>
              </w:txbxContent>
            </v:textbox>
          </v:shape>
        </w:pict>
      </w:r>
      <w:r w:rsidR="008E45C9">
        <w:rPr>
          <w:noProof/>
        </w:rPr>
        <w:pict>
          <v:shape id="_x0000_s1036" type="#_x0000_t32" style="position:absolute;margin-left:400.6pt;margin-top:112.5pt;width:0;height:33.4pt;z-index:251700224" o:connectortype="straight" o:regroupid="2">
            <v:stroke endarrow="block"/>
          </v:shape>
        </w:pict>
      </w:r>
      <w:r w:rsidR="008C6A07">
        <w:br w:type="page"/>
      </w:r>
    </w:p>
    <w:p w:rsidR="008C6A07" w:rsidRDefault="008C6A07"/>
    <w:sectPr w:rsidR="008C6A07" w:rsidSect="00A60B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CE3" w:rsidRDefault="00642CE3" w:rsidP="00C97A68">
      <w:r>
        <w:separator/>
      </w:r>
    </w:p>
  </w:endnote>
  <w:endnote w:type="continuationSeparator" w:id="1">
    <w:p w:rsidR="00642CE3" w:rsidRDefault="00642CE3" w:rsidP="00C97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CE3" w:rsidRDefault="00642CE3" w:rsidP="00C97A68">
      <w:r>
        <w:separator/>
      </w:r>
    </w:p>
  </w:footnote>
  <w:footnote w:type="continuationSeparator" w:id="1">
    <w:p w:rsidR="00642CE3" w:rsidRDefault="00642CE3" w:rsidP="00C97A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841"/>
    <w:rsid w:val="000909FC"/>
    <w:rsid w:val="000C20D8"/>
    <w:rsid w:val="000F7779"/>
    <w:rsid w:val="00101732"/>
    <w:rsid w:val="00125847"/>
    <w:rsid w:val="00174270"/>
    <w:rsid w:val="001D38B7"/>
    <w:rsid w:val="001F00D5"/>
    <w:rsid w:val="00220411"/>
    <w:rsid w:val="00223AA6"/>
    <w:rsid w:val="00227CE9"/>
    <w:rsid w:val="00291F68"/>
    <w:rsid w:val="00307F81"/>
    <w:rsid w:val="00343F91"/>
    <w:rsid w:val="00374988"/>
    <w:rsid w:val="003F4FAD"/>
    <w:rsid w:val="00410AB6"/>
    <w:rsid w:val="00553AA7"/>
    <w:rsid w:val="005C7771"/>
    <w:rsid w:val="005D6E39"/>
    <w:rsid w:val="00642CE3"/>
    <w:rsid w:val="007B53B5"/>
    <w:rsid w:val="00800E93"/>
    <w:rsid w:val="00895841"/>
    <w:rsid w:val="00896302"/>
    <w:rsid w:val="008A1916"/>
    <w:rsid w:val="008C1534"/>
    <w:rsid w:val="008C6A07"/>
    <w:rsid w:val="008E45C9"/>
    <w:rsid w:val="00907E7F"/>
    <w:rsid w:val="00961FF9"/>
    <w:rsid w:val="009A22AB"/>
    <w:rsid w:val="00A16138"/>
    <w:rsid w:val="00A31974"/>
    <w:rsid w:val="00A42E6C"/>
    <w:rsid w:val="00A60B90"/>
    <w:rsid w:val="00AD35C1"/>
    <w:rsid w:val="00AD39B6"/>
    <w:rsid w:val="00B0092C"/>
    <w:rsid w:val="00B22224"/>
    <w:rsid w:val="00B42AD9"/>
    <w:rsid w:val="00B87951"/>
    <w:rsid w:val="00C24D42"/>
    <w:rsid w:val="00C83B60"/>
    <w:rsid w:val="00C97A68"/>
    <w:rsid w:val="00CA290F"/>
    <w:rsid w:val="00CA2FBB"/>
    <w:rsid w:val="00CF7F83"/>
    <w:rsid w:val="00D90B4A"/>
    <w:rsid w:val="00DA6411"/>
    <w:rsid w:val="00DC554C"/>
    <w:rsid w:val="00E70C32"/>
    <w:rsid w:val="00EB7AFC"/>
    <w:rsid w:val="00ED711E"/>
    <w:rsid w:val="00EE00DF"/>
    <w:rsid w:val="00F1679A"/>
    <w:rsid w:val="00F3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allout" idref="#_x0000_s1085"/>
        <o:r id="V:Rule5" type="callout" idref="#_x0000_s1091"/>
        <o:r id="V:Rule6" type="callout" idref="#_x0000_s1092"/>
        <o:r id="V:Rule9" type="callout" idref="#_x0000_s1098"/>
        <o:r id="V:Rule13" type="callout" idref="#_x0000_s1105"/>
        <o:r id="V:Rule15" type="callout" idref="#_x0000_s1047"/>
        <o:r id="V:Rule18" type="callout" idref="#_x0000_s1031"/>
        <o:r id="V:Rule19" type="callout" idref="#_x0000_s1032"/>
        <o:r id="V:Rule22" type="callout" idref="#_x0000_s1046"/>
        <o:r id="V:Rule26" type="callout" idref="#_x0000_s1058"/>
        <o:r id="V:Rule27" type="connector" idref="#_x0000_s1035"/>
        <o:r id="V:Rule28" type="connector" idref="#_x0000_s1090"/>
        <o:r id="V:Rule29" type="connector" idref="#_x0000_s1028"/>
        <o:r id="V:Rule30" type="connector" idref="#_x0000_s1104"/>
        <o:r id="V:Rule31" type="connector" idref="#_x0000_s1030"/>
        <o:r id="V:Rule32" type="connector" idref="#_x0000_s1088"/>
        <o:r id="V:Rule33" type="connector" idref="#_x0000_s1036"/>
        <o:r id="V:Rule34" type="connector" idref="#_x0000_s1103"/>
        <o:r id="V:Rule35" type="connector" idref="#_x0000_s1057"/>
        <o:r id="V:Rule36" type="connector" idref="#_x0000_s1051"/>
        <o:r id="V:Rule37" type="connector" idref="#_x0000_s1084"/>
        <o:r id="V:Rule38" type="connector" idref="#_x0000_s1056"/>
        <o:r id="V:Rule39" type="connector" idref="#_x0000_s1095"/>
        <o:r id="V:Rule40" type="connector" idref="#_x0000_s1099"/>
        <o:r id="V:Rule41" type="connector" idref="#_x0000_s1094"/>
        <o:r id="V:Rule42" type="connector" idref="#_x0000_s1034"/>
        <o:r id="V:Rule43" type="connector" idref="#_x0000_s1108"/>
        <o:r id="V:Rule44" type="callout" idref="#_x0000_s1109"/>
        <o:r id="V:Rule45" type="connector" idref="#_x0000_s1110"/>
        <o:r id="V:Rule46" type="connector" idref="#_x0000_s111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0B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0B9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9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97A6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9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97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CE725-2851-408C-AB50-37932113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</Words>
  <Characters>82</Characters>
  <Application>Microsoft Office Word</Application>
  <DocSecurity>0</DocSecurity>
  <Lines>1</Lines>
  <Paragraphs>1</Paragraphs>
  <ScaleCrop>false</ScaleCrop>
  <Company>微软中国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48</cp:revision>
  <dcterms:created xsi:type="dcterms:W3CDTF">2014-07-20T22:25:00Z</dcterms:created>
  <dcterms:modified xsi:type="dcterms:W3CDTF">2014-07-30T00:55:00Z</dcterms:modified>
</cp:coreProperties>
</file>