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/BM-FSC-04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Xác nhận khối lượng thực nhập theo phiếu cân và giá trị thanh toán để thanh lý hợp đồng.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CHUNG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hợp đồng mua bán liên quan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Chủ rừng / Bên bán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 số phiếu cân kèm theo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 phiếu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BẢNG KÊ KHỐI LƯỢNG NHẬP THEO PHIẾU CÂN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1713"/>
        <w:gridCol w:w="1499"/>
        <w:gridCol w:w="1713"/>
        <w:gridCol w:w="1927"/>
        <w:gridCol w:w="2144"/>
      </w:tblGrid>
      <w:tr>
        <w:trPr>
          <w:cantSplit/>
          <w:tblHeader/>
        </w:trPr>
        <w:tc>
          <w:tcPr>
            <w:tcW w:type="dxa" w:w="64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Số phiếu cân</w:t>
            </w:r>
          </w:p>
        </w:tc>
        <w:tc>
          <w:tcPr>
            <w:tcW w:type="dxa" w:w="149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 cân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Khối lượng (tấn)</w:t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Đơn giá (đ/tấn)</w:t>
            </w:r>
          </w:p>
        </w:tc>
        <w:tc>
          <w:tcPr>
            <w:tcW w:type="dxa" w:w="2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Thành tiền (đồng)</w:t>
            </w:r>
          </w:p>
        </w:tc>
      </w:tr>
      <w:tr>
        <w:trPr>
          <w:cantSplit/>
          <w:trHeight w:val="400" w:hRule="atLeast"/>
        </w:trPr>
        <w:tc>
          <w:tcPr>
            <w:tcW w:type="dxa" w:w="64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9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4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9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4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9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4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9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4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9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4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9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4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9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4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9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4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9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4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499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3854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 CỘNG</w:t>
            </w:r>
          </w:p>
        </w:tc>
        <w:tc>
          <w:tcPr>
            <w:tcW w:type="dxa" w:w="171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192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4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NGHIỆM THU &amp; THANH LÝ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 khối lượng nghiệm thu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……………………… tấn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 giá trị thanh toán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……………………… đồng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Bằng chữ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04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Hồ sơ pháp lý giao nhận kèm theo (liệt kê)</w:t>
            </w:r>
          </w:p>
          <w:p>
            <w:pPr>
              <w:spacing w:after="0" w:before="0" w:line="264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VD: Hợp đồng, Bảng kê lâm sản, phiếu cân, hóa đơn, giấy tờ đất…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p>
      <w:pPr>
        <w:spacing w:after="40" w:before="0" w:line="264"/>
      </w:pPr>
      <w:r>
        <w:rPr>
          <w:rFonts w:ascii="Times New Roman" w:cs="Times New Roman" w:eastAsia="Times New Roman" w:hAnsi="Times New Roman"/>
          <w:i/>
          <w:iCs/>
          <w:color w:val="595959"/>
          <w:sz w:val="20"/>
          <w:szCs w:val="20"/>
        </w:rPr>
        <w:t xml:space="preserve">Hai bên thống nhất số liệu nêu trên. Biên bản được lập thành 02 bản có giá trị pháp lý như nhau, mỗi bên giữ 01 bản.</w:t>
      </w:r>
    </w:p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4: Nghiệm thu &amp; thanh lý.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ĐẠI DIỆN BÊN BÁN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(Chủ rừng)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ĐẠI DIỆN BÊN MUA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(Công ty)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BM-FSC-04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BIÊN BẢN NGHIỆM THU KHỐI LƯỢNG &amp; THANH LÝ HỢP ĐỒNG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4: Nghiệm thu &amp; thanh lý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BM-FSC-04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BM-FSC-04 — BIÊN BẢN NGHIỆM THU KHỐI LƯỢNG &amp; THANH LÝ HỢP ĐỒNG</dc:title>
  <dc:creator>HAK Group</dc:creator>
  <dc:description>Căn cứ: QT-FSC-01 — Bước 4: Nghiệm thu &amp; thanh lý</dc:description>
  <cp:lastModifiedBy>Un-named</cp:lastModifiedBy>
  <cp:revision>1</cp:revision>
  <dcterms:created xsi:type="dcterms:W3CDTF">2026-10-14T20:24:34.910Z</dcterms:created>
  <dcterms:modified xsi:type="dcterms:W3CDTF">2026-10-14T20:24:34.910Z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