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………… /BM-KH-01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Ngày lập: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……/……/20……</w:t>
            </w:r>
          </w:p>
        </w:tc>
      </w:tr>
    </w:tbl>
    <w:p>
      <w:pPr>
        <w:spacing w:after="60" w:before="60" w:line="264"/>
      </w:pPr>
      <w:r>
        <w:rPr>
          <w:rFonts w:ascii="Times New Roman" w:cs="Times New Roman" w:eastAsia="Times New Roman" w:hAnsi="Times New Roman"/>
          <w:b/>
          <w:bCs/>
          <w:i/>
          <w:iCs/>
          <w:color w:val="1F3864"/>
          <w:sz w:val="21"/>
          <w:szCs w:val="21"/>
        </w:rPr>
        <w:t xml:space="preserve">Mục đích: </w:t>
      </w:r>
      <w:r>
        <w:rPr>
          <w:rFonts w:ascii="Times New Roman" w:cs="Times New Roman" w:eastAsia="Times New Roman" w:hAnsi="Times New Roman"/>
          <w:i/>
          <w:iCs/>
          <w:color w:val="404040"/>
          <w:sz w:val="21"/>
          <w:szCs w:val="21"/>
        </w:rPr>
        <w:t xml:space="preserve">Theo dõi tiến độ thực tế so với mốc kế hoạch của từng giai đoạn triển khai.</w:t>
      </w:r>
    </w:p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TIẾN ĐỘ THEO GIAI ĐOẠN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1927"/>
        <w:gridCol w:w="2313"/>
        <w:gridCol w:w="1736"/>
      </w:tblGrid>
      <w:tr>
        <w:trPr>
          <w:cantSplit/>
          <w:tblHeader/>
        </w:trPr>
        <w:tc>
          <w:tcPr>
            <w:tcW w:type="dxa" w:w="366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Giai đoạn</w:t>
            </w:r>
          </w:p>
        </w:tc>
        <w:tc>
          <w:tcPr>
            <w:tcW w:type="dxa" w:w="192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Mốc kế hoạch</w:t>
            </w:r>
          </w:p>
        </w:tc>
        <w:tc>
          <w:tcPr>
            <w:tcW w:type="dxa" w:w="23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Ngày thực tế hoàn thành</w:t>
            </w:r>
          </w:p>
        </w:tc>
        <w:tc>
          <w:tcPr>
            <w:tcW w:type="dxa" w:w="17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Chênh lệch (tuần)</w:t>
            </w:r>
          </w:p>
        </w:tc>
      </w:tr>
      <w:tr>
        <w:trPr>
          <w:cantSplit/>
          <w:trHeight w:val="520" w:hRule="atLeast"/>
        </w:trPr>
        <w:tc>
          <w:tcPr>
            <w:tcW w:type="dxa" w:w="366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0. Chuẩn bị</w:t>
            </w:r>
          </w:p>
        </w:tc>
        <w:tc>
          <w:tcPr>
            <w:tcW w:type="dxa" w:w="192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Tuần 1–2</w:t>
            </w:r>
          </w:p>
        </w:tc>
        <w:tc>
          <w:tcPr>
            <w:tcW w:type="dxa" w:w="23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7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66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1. Đào tạo &amp; Thí điểm</w:t>
            </w:r>
          </w:p>
        </w:tc>
        <w:tc>
          <w:tcPr>
            <w:tcW w:type="dxa" w:w="192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Tuần 3–6</w:t>
            </w:r>
          </w:p>
        </w:tc>
        <w:tc>
          <w:tcPr>
            <w:tcW w:type="dxa" w:w="23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7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66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2. Triển khai toàn diện</w:t>
            </w:r>
          </w:p>
        </w:tc>
        <w:tc>
          <w:tcPr>
            <w:tcW w:type="dxa" w:w="192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Tuần 7–12</w:t>
            </w:r>
          </w:p>
        </w:tc>
        <w:tc>
          <w:tcPr>
            <w:tcW w:type="dxa" w:w="23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7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66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3. Đánh giá nội bộ</w:t>
            </w:r>
          </w:p>
        </w:tc>
        <w:tc>
          <w:tcPr>
            <w:tcW w:type="dxa" w:w="192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Tuần 13–16</w:t>
            </w:r>
          </w:p>
        </w:tc>
        <w:tc>
          <w:tcPr>
            <w:tcW w:type="dxa" w:w="23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7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66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4. Vận hành ổn định</w:t>
            </w:r>
          </w:p>
        </w:tc>
        <w:tc>
          <w:tcPr>
            <w:tcW w:type="dxa" w:w="192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Từ tuần 17</w:t>
            </w:r>
          </w:p>
        </w:tc>
        <w:tc>
          <w:tcPr>
            <w:tcW w:type="dxa" w:w="231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73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ĐÁNH GIÁ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rHeight w:val="520" w:hRule="atLeast"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Đánh giá tổng quát</w:t>
            </w:r>
          </w:p>
        </w:tc>
        <w:tc>
          <w:tcPr>
            <w:tcW w:type="dxa" w:w="70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☐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Đúng tiến độ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    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☐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Chậm tiến độ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    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☐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 nguy cơ trễ giai đoạn kế tiếp</w:t>
            </w:r>
          </w:p>
        </w:tc>
      </w:tr>
    </w:tbl>
    <w:p>
      <w:pPr>
        <w:spacing w:after="80" w:before="0" w:line="264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960" w:hRule="atLeast"/>
        </w:trPr>
        <w:tc>
          <w:tcPr>
            <w:tcW w:type="dxa" w:w="96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Nguyên nhân chậm (nếu có)</w:t>
            </w:r>
          </w:p>
        </w:tc>
      </w:tr>
    </w:tbl>
    <w:p>
      <w:pPr>
        <w:spacing w:after="80" w:before="0" w:line="264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960" w:hRule="atLeast"/>
        </w:trPr>
        <w:tc>
          <w:tcPr>
            <w:tcW w:type="dxa" w:w="96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Đề xuất điều chỉnh mốc thời gian</w:t>
            </w:r>
          </w:p>
        </w:tc>
      </w:tr>
    </w:tbl>
    <w:p>
      <w:pPr>
        <w:keepNext/>
        <w:spacing w:after="0" w:before="140" w:line="264"/>
      </w:pPr>
      <w:r>
        <w:rPr>
          <w:rFonts w:ascii="Times New Roman" w:cs="Times New Roman" w:eastAsia="Times New Roman" w:hAnsi="Times New Roman"/>
          <w:i/>
          <w:iCs/>
          <w:color w:val="7F7F7F"/>
          <w:sz w:val="18"/>
          <w:szCs w:val="18"/>
        </w:rPr>
        <w:t xml:space="preserve">Hướng dẫn ghi: đánh dấu ☒ vào ô lựa chọn; ghi “N/A” với nội dung không áp dụng; đính kèm bản chụp/scan bằng chứng và lưu theo hồ sơ của KH-FSC-01 — Kế hoạch triển khai QT-FSC-01.</w:t>
      </w:r>
    </w:p>
    <w:p>
      <w:pPr>
        <w:keepNext/>
        <w:spacing w:after="60" w:before="180" w:line="264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……………, ngày …… tháng …… năm 20……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THEO DÕI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(QA/FSC)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20"/>
                <w:szCs w:val="20"/>
              </w:rPr>
              <w:t xml:space="preserve">(Ký, ghi rõ họ tên)</w:t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color w:val="7F7F7F"/>
                <w:sz w:val="23"/>
                <w:szCs w:val="23"/>
              </w:rPr>
              <w:t xml:space="preserve">……………………………………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PHÊ DUYỆT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(Ban Giám đốc)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20"/>
                <w:szCs w:val="20"/>
              </w:rPr>
              <w:t xml:space="preserve">(Ký, ghi rõ họ tên)</w:t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color w:val="7F7F7F"/>
                <w:sz w:val="23"/>
                <w:szCs w:val="23"/>
              </w:rPr>
              <w:t xml:space="preserve">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100" w:right="1134" w:bottom="1000" w:left="1134" w:header="567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F7F7F" w:sz="4" w:space="4"/>
      </w:pBdr>
      <w:spacing w:after="0" w:before="0" w:line="264"/>
    </w:pPr>
    <w:r>
      <w:rPr>
        <w:rFonts w:ascii="Times New Roman" w:cs="Times New Roman" w:eastAsia="Times New Roman" w:hAnsi="Times New Roman"/>
        <w:i/>
        <w:iCs/>
        <w:color w:val="7F7F7F"/>
        <w:sz w:val="16"/>
        <w:szCs w:val="16"/>
      </w:rPr>
      <w:t xml:space="preserve">HAK Group — Tài liệu kiểm soát nội bộ. Không tự ý sửa đổi, sao chép khi chưa được phê duyệt.</w:t>
    </w:r>
    <w:r>
      <w:rPr>
        <w:rFonts w:ascii="Times New Roman" w:cs="Times New Roman" w:eastAsia="Times New Roman" w:hAnsi="Times New Roman"/>
        <w:sz w:val="16"/>
        <w:szCs w:val="16"/>
      </w:rPr>
      <w:ptab w:alignment="right" w:relativeTo="margin" w:leader="none"/>
    </w:r>
    <w:r>
      <w:rPr>
        <w:rFonts w:ascii="Times New Roman" w:cs="Times New Roman" w:eastAsia="Times New Roman" w:hAnsi="Times New Roman"/>
        <w:b/>
        <w:bCs/>
        <w:color w:val="1F3864"/>
        <w:sz w:val="16"/>
        <w:szCs w:val="16"/>
      </w:rPr>
      <w:t xml:space="preserve">BM-KH-01 ·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900"/>
      <w:gridCol w:w="4338"/>
      <w:gridCol w:w="2400"/>
    </w:tblGrid>
    <w:tr>
      <w:trPr>
        <w:cantSplit/>
        <w:trHeight w:val="1050" w:hRule="atLeast"/>
      </w:trPr>
      <w:tc>
        <w:tcPr>
          <w:tcW w:type="dxa" w:w="2900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1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1F3864"/>
              <w:sz w:val="28"/>
              <w:szCs w:val="28"/>
            </w:rPr>
            <w:t xml:space="preserve">HAK GROUP</w:t>
          </w:r>
        </w:p>
        <w:p>
          <w:pPr>
            <w:spacing w:after="1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sz w:val="16"/>
              <w:szCs w:val="16"/>
            </w:rPr>
            <w:t xml:space="preserve">CÔNG TY TNHH HOÀNG ANH KHÔI</w:t>
          </w:r>
        </w:p>
        <w:p>
          <w:pPr>
            <w:spacing w:after="0" w:before="0" w:line="264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color w:val="595959"/>
              <w:sz w:val="17"/>
              <w:szCs w:val="17"/>
            </w:rPr>
            <w:t xml:space="preserve">Hệ thống kiểm soát FSC</w:t>
          </w:r>
        </w:p>
      </w:tc>
      <w:tc>
        <w:tcPr>
          <w:tcW w:type="dxa" w:w="4338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3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1F3864"/>
              <w:sz w:val="25"/>
              <w:szCs w:val="25"/>
            </w:rPr>
            <w:t xml:space="preserve">PHIẾU THEO DÕI TIẾN ĐỘ THEO GIAI ĐOẠN</w:t>
          </w:r>
        </w:p>
        <w:p>
          <w:pPr>
            <w:spacing w:after="0" w:before="0" w:line="264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color w:val="404040"/>
              <w:sz w:val="18"/>
              <w:szCs w:val="18"/>
            </w:rPr>
            <w:t xml:space="preserve">Căn cứ: KH-FSC-01 — Kế hoạch triển khai QT-FSC-01</w:t>
          </w:r>
        </w:p>
      </w:tc>
      <w:tc>
        <w:tcPr>
          <w:tcW w:type="dxa" w:w="2400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Mã số: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BM-KH-01</w:t>
          </w:r>
        </w:p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Phiên bản: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1.0</w:t>
          </w:r>
        </w:p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Ngày ban hành: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26/07/2026</w:t>
          </w:r>
        </w:p>
        <w:p>
          <w:pPr>
            <w:spacing w:after="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Trang: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/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0" w:before="0" w:line="264"/>
    </w:pPr>
    <w:r>
      <w:rPr>
        <w:rFonts w:ascii="Times New Roman" w:cs="Times New Roman" w:eastAsia="Times New Roman" w:hAnsi="Times New Roman"/>
        <w:sz w:val="23"/>
        <w:szCs w:val="23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BM-KH-01 — PHIẾU THEO DÕI TIẾN ĐỘ THEO GIAI ĐOẠN</dc:title>
  <dc:creator>HAK Group</dc:creator>
  <dc:description>Căn cứ: KH-FSC-01 — Kế hoạch triển khai QT-FSC-01</dc:description>
  <cp:lastModifiedBy>Un-named</cp:lastModifiedBy>
  <cp:revision>1</cp:revision>
  <dcterms:created xsi:type="dcterms:W3CDTF">2026-10-14T20:24:35.148Z</dcterms:created>
  <dcterms:modified xsi:type="dcterms:W3CDTF">2026-10-14T20:24:35.148Z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