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/BM-KH-03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Ghi nhận kịp thời rủi ro, vướng mắc phát sinh và theo dõi biện pháp xử lý.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DANH SÁCH RỦI RO / VƯỚNG MẮC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4915"/>
        <w:gridCol w:w="2313"/>
        <w:gridCol w:w="1736"/>
      </w:tblGrid>
      <w:tr>
        <w:trPr>
          <w:cantSplit/>
          <w:tblHeader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Rủi ro / vướng mắc</w:t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 độ</w:t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Giai đoạn liên quan</w:t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Thấp ☐ TB ☐ Cao</w:t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Thấp ☐ TB ☐ Cao</w:t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Thấp ☐ TB ☐ Cao</w:t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Thấp ☐ TB ☐ Cao</w:t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Thấp ☐ TB ☐ Cao</w:t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9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Thấp ☐ TB ☐ Cao</w:t>
            </w:r>
          </w:p>
        </w:tc>
        <w:tc>
          <w:tcPr>
            <w:tcW w:type="dxa" w:w="17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PHƯƠNG ÁN XỬ LÝ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20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Biện pháp giảm thiểu đề xuất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phụ trách xử lý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Thời hạn xử lý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KH-FSC-01 — Kế hoạch triển khai QT-FSC-01.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LẬP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(QA/FSC)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PHÊ DUYỆT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(Ban Giám đốc)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BM-KH-03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PHIẾU GHI NHẬN RỦI RO / VƯỚNG MẮC TRIỂN KHAI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KH-FSC-01 — Kế hoạch triển khai QT-FSC-01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BM-KH-03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BM-KH-03 — PHIẾU GHI NHẬN RỦI RO / VƯỚNG MẮC TRIỂN KHAI</dc:title>
  <dc:creator>HAK Group</dc:creator>
  <dc:description>Căn cứ: KH-FSC-01 — Kế hoạch triển khai QT-FSC-01</dc:description>
  <cp:lastModifiedBy>Un-named</cp:lastModifiedBy>
  <cp:revision>1</cp:revision>
  <dcterms:created xsi:type="dcterms:W3CDTF">2026-10-14T20:24:35.196Z</dcterms:created>
  <dcterms:modified xsi:type="dcterms:W3CDTF">2026-10-14T20:24:35.196Z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