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………… /BM-FSC-05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  <w:jc w:val="righ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Ngày lập: </w:t>
            </w: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……/……/20……</w:t>
            </w:r>
          </w:p>
        </w:tc>
      </w:tr>
    </w:tbl>
    <w:p>
      <w:pPr>
        <w:spacing w:after="20" w:before="60" w:line="264"/>
      </w:pPr>
      <w:r>
        <w:rPr>
          <w:rFonts w:ascii="Times New Roman" w:cs="Times New Roman" w:eastAsia="Times New Roman" w:hAnsi="Times New Roman"/>
          <w:b/>
          <w:bCs/>
          <w:i/>
          <w:iCs/>
          <w:color w:val="1F3864"/>
          <w:sz w:val="21"/>
          <w:szCs w:val="21"/>
        </w:rPr>
        <w:t xml:space="preserve">Mục đích: </w:t>
      </w:r>
      <w:r>
        <w:rPr>
          <w:rFonts w:ascii="Times New Roman" w:cs="Times New Roman" w:eastAsia="Times New Roman" w:hAnsi="Times New Roman"/>
          <w:i/>
          <w:iCs/>
          <w:color w:val="404040"/>
          <w:sz w:val="21"/>
          <w:szCs w:val="21"/>
        </w:rPr>
        <w:t xml:space="preserve">Kiểm soát nguồn gốc hàng hóa khi điều chuyển giữa kho nhà máy, kho trung chuyển và cảng xuất.</w:t>
      </w:r>
    </w:p>
    <w:p>
      <w:pPr>
        <w:spacing w:after="60" w:before="0" w:line="264"/>
      </w:pPr>
      <w:r>
        <w:rPr>
          <w:rFonts w:ascii="Times New Roman" w:cs="Times New Roman" w:eastAsia="Times New Roman" w:hAnsi="Times New Roman"/>
          <w:b/>
          <w:bCs/>
          <w:i/>
          <w:iCs/>
          <w:color w:val="2E75B6"/>
          <w:sz w:val="21"/>
          <w:szCs w:val="21"/>
        </w:rPr>
        <w:t xml:space="preserve">Tham chiếu FSC: </w:t>
      </w:r>
      <w:r>
        <w:rPr>
          <w:rFonts w:ascii="Times New Roman" w:cs="Times New Roman" w:eastAsia="Times New Roman" w:hAnsi="Times New Roman"/>
          <w:i/>
          <w:iCs/>
          <w:color w:val="404040"/>
          <w:sz w:val="21"/>
          <w:szCs w:val="21"/>
        </w:rPr>
        <w:t xml:space="preserve">FSC-STD-40-004 V3-1 — truy xuất nguồn gốc và tách biệt nguyên liệu/sản phẩm có tuyên bố FSC trong quá trình lưu kho, vận chuyển.</w:t>
      </w:r>
    </w:p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THÔNG TIN ĐIỀU ĐỘNG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lệnh điều động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Loại hàng hóa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☐ Dăm gỗ tươi     ☐ Gỗ keo     ☐ Khác: ……………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Tuyên bố FSC của lô hàng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☐ FSC Controlled Wood     ☐ Không có tuyên bố FSC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Điểm xuất phát (kho nhà máy)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Điểm đến (kho trung chuyển / cảng xuất)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Biển kiểm soát xe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phiếu cân kèm theo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Số BKLS gốc của chủ rừng đính kèm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(chứng minh nguồn gốc)  …………………………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Biện pháp tách biệt tại kho/bãi đến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(khu vực, biển nhận diện lô)  …………………………</w:t>
            </w:r>
          </w:p>
        </w:tc>
      </w:tr>
    </w:tbl>
    <w:p>
      <w:pPr>
        <w:keepNext/>
        <w:pBdr>
          <w:bottom w:val="single" w:color="1F3864" w:sz="6" w:space="2"/>
        </w:pBdr>
        <w:spacing w:after="80" w:before="160" w:line="264"/>
      </w:pP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II. </w:t>
      </w:r>
      <w:r>
        <w:rPr>
          <w:rFonts w:ascii="Times New Roman" w:cs="Times New Roman" w:eastAsia="Times New Roman" w:hAnsi="Times New Roman"/>
          <w:b/>
          <w:bCs/>
          <w:color w:val="1F3864"/>
          <w:sz w:val="24"/>
          <w:szCs w:val="24"/>
        </w:rPr>
        <w:t xml:space="preserve">THEO DÕI HOÀN THÀNH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6138"/>
      </w:tblGrid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Thời gian hoàn thành vận chuyển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……giờ……  ngày ……/……/20……</w:t>
            </w:r>
          </w:p>
        </w:tc>
      </w:tr>
      <w:tr>
        <w:trPr>
          <w:cantSplit/>
          <w:trHeight w:val="400" w:hRule="atLeast"/>
        </w:trPr>
        <w:tc>
          <w:tcPr>
            <w:tcW w:type="dxa" w:w="3500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shd w:fill="DEEAF6" w:color="auto" w:val="clear"/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Ngày lập Phiếu xuất kho kiêm vận chuyển nội bộ</w:t>
            </w:r>
          </w:p>
        </w:tc>
        <w:tc>
          <w:tcPr>
            <w:tcW w:type="dxa" w:w="6138"/>
            <w:tcBorders>
              <w:top w:val="single" w:color="7F7F7F" w:sz="4"/>
              <w:left w:val="single" w:color="7F7F7F" w:sz="4"/>
              <w:bottom w:val="single" w:color="7F7F7F" w:sz="4"/>
              <w:right w:val="single" w:color="7F7F7F" w:sz="4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center"/>
          </w:tcPr>
          <w:p>
            <w:pPr>
              <w:spacing w:after="40" w:before="0" w:line="264"/>
            </w:pPr>
            <w:r>
              <w:rPr>
                <w:rFonts w:ascii="Times New Roman" w:cs="Times New Roman" w:eastAsia="Times New Roman" w:hAnsi="Times New Roman"/>
                <w:color w:val="595959"/>
                <w:sz w:val="22"/>
                <w:szCs w:val="22"/>
              </w:rPr>
              <w:t xml:space="preserve">……/……/20……</w:t>
            </w:r>
          </w:p>
        </w:tc>
      </w:tr>
    </w:tbl>
    <w:p>
      <w:pPr>
        <w:spacing w:after="80" w:before="0" w:line="264"/>
      </w:pPr>
      <w:r>
        <w:rPr>
          <w:rFonts w:ascii="Times New Roman" w:cs="Times New Roman" w:eastAsia="Times New Roman" w:hAnsi="Times New Roman"/>
          <w:sz w:val="23"/>
          <w:szCs w:val="23"/>
        </w:rPr>
        <w:t xml:space="preserve"/>
      </w:r>
    </w:p>
    <w:p>
      <w:pPr>
        <w:spacing w:after="40" w:before="0" w:line="264"/>
      </w:pPr>
      <w:r>
        <w:rPr>
          <w:rFonts w:ascii="Times New Roman" w:cs="Times New Roman" w:eastAsia="Times New Roman" w:hAnsi="Times New Roman"/>
          <w:i/>
          <w:iCs/>
          <w:color w:val="595959"/>
          <w:sz w:val="20"/>
          <w:szCs w:val="20"/>
        </w:rPr>
        <w:t xml:space="preserve">Lưu ý: Phiếu xuất kho kiêm vận chuyển nội bộ phải được lập trong vòng ≤ 01 ngày làm việc kể từ khi hoàn thành vận chuyển.</w:t>
      </w:r>
    </w:p>
    <w:p>
      <w:pPr>
        <w:keepNext/>
        <w:spacing w:after="0" w:before="140" w:line="264"/>
      </w:pPr>
      <w:r>
        <w:rPr>
          <w:rFonts w:ascii="Times New Roman" w:cs="Times New Roman" w:eastAsia="Times New Roman" w:hAnsi="Times New Roman"/>
          <w:i/>
          <w:iCs/>
          <w:color w:val="7F7F7F"/>
          <w:sz w:val="18"/>
          <w:szCs w:val="18"/>
        </w:rPr>
        <w:t xml:space="preserve">Hướng dẫn ghi: đánh dấu ☒ vào ô lựa chọn; ghi “N/A” với nội dung không áp dụng; đính kèm bản chụp/scan bằng chứng và lưu theo hồ sơ của QT-FSC-01 — Bước 5: Vận chuyển nội bộ.</w:t>
      </w:r>
    </w:p>
    <w:p>
      <w:pPr>
        <w:keepNext/>
        <w:spacing w:after="60" w:before="180" w:line="264"/>
        <w:jc w:val="right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……………, ngày …… tháng …… năm 20……</w:t>
      </w:r>
    </w:p>
    <w:tbl>
      <w:tblPr>
        <w:tblW w:type="dxa" w:w="9638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LẬP LỆNH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>(Kho)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20"/>
                <w:szCs w:val="20"/>
              </w:rPr>
              <w:t xml:space="preserve">(Ký, ghi rõ họ tên)</w:t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color w:val="7F7F7F"/>
                <w:sz w:val="23"/>
                <w:szCs w:val="23"/>
              </w:rPr>
              <w:t xml:space="preserve">……………………………………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100"/>
              <w:bottom w:type="dxa" w:w="50"/>
              <w:right w:type="dxa" w:w="100"/>
            </w:tcMar>
            <w:vAlign w:val="top"/>
          </w:tcPr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NGƯỜI VẬN CHUYỂN</w:t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sz w:val="21"/>
                <w:szCs w:val="21"/>
              </w:rPr>
              <w:t xml:space="preserve"/>
            </w:r>
          </w:p>
          <w:p>
            <w:pPr>
              <w:keepNext/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i/>
                <w:iCs/>
                <w:color w:val="595959"/>
                <w:sz w:val="20"/>
                <w:szCs w:val="20"/>
              </w:rPr>
              <w:t xml:space="preserve">(Ký, ghi rõ họ tên)</w:t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keepNext/>
              <w:spacing w:after="0" w:before="0" w:line="264"/>
            </w:pPr>
            <w:r>
              <w:rPr>
                <w:rFonts w:ascii="Times New Roman" w:cs="Times New Roman" w:eastAsia="Times New Roman" w:hAnsi="Times New Roman"/>
                <w:sz w:val="23"/>
                <w:szCs w:val="23"/>
              </w:rPr>
              <w:t xml:space="preserve"/>
            </w:r>
          </w:p>
          <w:p>
            <w:pPr>
              <w:spacing w:after="40" w:before="0" w:line="264"/>
              <w:jc w:val="center"/>
            </w:pPr>
            <w:r>
              <w:rPr>
                <w:rFonts w:ascii="Times New Roman" w:cs="Times New Roman" w:eastAsia="Times New Roman" w:hAnsi="Times New Roman"/>
                <w:color w:val="7F7F7F"/>
                <w:sz w:val="23"/>
                <w:szCs w:val="23"/>
              </w:rPr>
              <w:t xml:space="preserve">……………………………………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2100" w:right="1134" w:bottom="1000" w:left="1134" w:header="567" w:footer="45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7F7F7F" w:sz="4" w:space="4"/>
      </w:pBdr>
      <w:spacing w:after="0" w:before="0" w:line="264"/>
    </w:pPr>
    <w:r>
      <w:rPr>
        <w:rFonts w:ascii="Times New Roman" w:cs="Times New Roman" w:eastAsia="Times New Roman" w:hAnsi="Times New Roman"/>
        <w:i/>
        <w:iCs/>
        <w:color w:val="7F7F7F"/>
        <w:sz w:val="16"/>
        <w:szCs w:val="16"/>
      </w:rPr>
      <w:t xml:space="preserve">HAK Group — Tài liệu kiểm soát nội bộ. Không tự ý sửa đổi, sao chép khi chưa được phê duyệt.</w:t>
    </w:r>
    <w:r>
      <w:rPr>
        <w:rFonts w:ascii="Times New Roman" w:cs="Times New Roman" w:eastAsia="Times New Roman" w:hAnsi="Times New Roman"/>
        <w:sz w:val="16"/>
        <w:szCs w:val="16"/>
      </w:rPr>
      <w:ptab w:alignment="right" w:relativeTo="margin" w:leader="none"/>
    </w:r>
    <w:r>
      <w:rPr>
        <w:rFonts w:ascii="Times New Roman" w:cs="Times New Roman" w:eastAsia="Times New Roman" w:hAnsi="Times New Roman"/>
        <w:b/>
        <w:bCs/>
        <w:color w:val="1F3864"/>
        <w:sz w:val="16"/>
        <w:szCs w:val="16"/>
      </w:rPr>
      <w:t xml:space="preserve">BM-FSC-05 · v1.0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638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2900"/>
      <w:gridCol w:w="4338"/>
      <w:gridCol w:w="2400"/>
    </w:tblGrid>
    <w:tr>
      <w:trPr>
        <w:cantSplit/>
        <w:trHeight w:val="1050" w:hRule="atLeast"/>
      </w:trPr>
      <w:tc>
        <w:tcPr>
          <w:tcW w:type="dxa" w:w="2900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1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1F3864"/>
              <w:sz w:val="28"/>
              <w:szCs w:val="28"/>
            </w:rPr>
            <w:t xml:space="preserve">HAK GROUP</w:t>
          </w:r>
        </w:p>
        <w:p>
          <w:pPr>
            <w:spacing w:after="1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sz w:val="16"/>
              <w:szCs w:val="16"/>
            </w:rPr>
            <w:t xml:space="preserve">CÔNG TY TNHH HOÀNG ANH KHÔI</w:t>
          </w:r>
        </w:p>
        <w:p>
          <w:pPr>
            <w:spacing w:after="0" w:before="0" w:line="264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color w:val="595959"/>
              <w:sz w:val="17"/>
              <w:szCs w:val="17"/>
            </w:rPr>
            <w:t xml:space="preserve">Hệ thống kiểm soát FSC</w:t>
          </w:r>
        </w:p>
      </w:tc>
      <w:tc>
        <w:tcPr>
          <w:tcW w:type="dxa" w:w="4338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30" w:before="0" w:line="264"/>
            <w:jc w:val="center"/>
          </w:pPr>
          <w:r>
            <w:rPr>
              <w:rFonts w:ascii="Times New Roman" w:cs="Times New Roman" w:eastAsia="Times New Roman" w:hAnsi="Times New Roman"/>
              <w:b/>
              <w:bCs/>
              <w:color w:val="1F3864"/>
              <w:sz w:val="25"/>
              <w:szCs w:val="25"/>
            </w:rPr>
            <w:t xml:space="preserve">LỆNH ĐIỀU ĐỘNG VẬN CHUYỂN NỘI BỘ</w:t>
          </w:r>
        </w:p>
        <w:p>
          <w:pPr>
            <w:spacing w:after="0" w:before="0" w:line="264"/>
            <w:jc w:val="center"/>
          </w:pPr>
          <w:r>
            <w:rPr>
              <w:rFonts w:ascii="Times New Roman" w:cs="Times New Roman" w:eastAsia="Times New Roman" w:hAnsi="Times New Roman"/>
              <w:i/>
              <w:iCs/>
              <w:color w:val="404040"/>
              <w:sz w:val="18"/>
              <w:szCs w:val="18"/>
            </w:rPr>
            <w:t xml:space="preserve">Căn cứ: QT-FSC-01 — Bước 5: Vận chuyển nội bộ</w:t>
          </w:r>
        </w:p>
      </w:tc>
      <w:tc>
        <w:tcPr>
          <w:tcW w:type="dxa" w:w="2400"/>
          <w:tcBorders>
            <w:top w:val="single" w:color="7F7F7F" w:sz="4"/>
            <w:left w:val="single" w:color="7F7F7F" w:sz="4"/>
            <w:bottom w:val="single" w:color="7F7F7F" w:sz="4"/>
            <w:right w:val="single" w:color="7F7F7F" w:sz="4"/>
          </w:tcBorders>
          <w:tcMar>
            <w:top w:type="dxa" w:w="50"/>
            <w:left w:type="dxa" w:w="100"/>
            <w:bottom w:type="dxa" w:w="50"/>
            <w:right w:type="dxa" w:w="100"/>
          </w:tcMar>
          <w:vAlign w:val="center"/>
        </w:tcPr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Mã số: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BM-FSC-05</w:t>
          </w:r>
        </w:p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Phiên bản: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1.0</w:t>
          </w:r>
        </w:p>
        <w:p>
          <w:pPr>
            <w:spacing w:after="1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Ngày ban hành: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26/07/2026</w:t>
          </w:r>
        </w:p>
        <w:p>
          <w:pPr>
            <w:spacing w:after="0" w:before="0" w:line="264"/>
          </w:pPr>
          <w:r>
            <w:rPr>
              <w:rFonts w:ascii="Times New Roman" w:cs="Times New Roman" w:eastAsia="Times New Roman" w:hAnsi="Times New Roman"/>
              <w:color w:val="404040"/>
              <w:sz w:val="18"/>
              <w:szCs w:val="18"/>
            </w:rPr>
            <w:t xml:space="preserve">Trang: 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t xml:space="preserve">/</w:t>
          </w:r>
          <w:r>
            <w:rPr>
              <w:rFonts w:ascii="Times New Roman" w:cs="Times New Roman" w:eastAsia="Times New Roman" w:hAnsi="Times New Roman"/>
              <w:b/>
              <w:bCs/>
              <w:sz w:val="18"/>
              <w:szCs w:val="18"/>
            </w:rPr>
            <w:fldChar w:fldCharType="begin"/>
            <w:instrText xml:space="preserve">NUMPAGES</w:instrText>
            <w:fldChar w:fldCharType="separate"/>
            <w:fldChar w:fldCharType="end"/>
          </w:r>
        </w:p>
      </w:tc>
    </w:tr>
  </w:tbl>
  <w:p>
    <w:pPr>
      <w:spacing w:after="0" w:before="0" w:line="264"/>
    </w:pPr>
    <w:r>
      <w:rPr>
        <w:rFonts w:ascii="Times New Roman" w:cs="Times New Roman" w:eastAsia="Times New Roman" w:hAnsi="Times New Roman"/>
        <w:sz w:val="23"/>
        <w:szCs w:val="23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3"/>
        <w:szCs w:val="23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BM-FSC-05 — LỆNH ĐIỀU ĐỘNG VẬN CHUYỂN NỘI BỘ</dc:title>
  <dc:creator>HAK Group</dc:creator>
  <dc:description>Căn cứ: QT-FSC-01 — Bước 5: Vận chuyển nội bộ</dc:description>
  <cp:lastModifiedBy>Un-named</cp:lastModifiedBy>
  <cp:revision>1</cp:revision>
  <dcterms:created xsi:type="dcterms:W3CDTF">2026-10-14T21:04:05.936Z</dcterms:created>
  <dcterms:modified xsi:type="dcterms:W3CDTF">2026-10-14T21:04:05.936Z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