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Số: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………… /BM-FSC-09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Ngày lập: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……/……/20……</w:t>
            </w:r>
          </w:p>
        </w:tc>
      </w:tr>
    </w:tbl>
    <w:p>
      <w:pPr>
        <w:spacing w:after="20" w:before="60" w:line="264"/>
      </w:pPr>
      <w:r>
        <w:rPr>
          <w:rFonts w:ascii="Times New Roman" w:cs="Times New Roman" w:eastAsia="Times New Roman" w:hAnsi="Times New Roman"/>
          <w:b/>
          <w:bCs/>
          <w:i/>
          <w:iCs/>
          <w:color w:val="1F3864"/>
          <w:sz w:val="21"/>
          <w:szCs w:val="21"/>
        </w:rPr>
        <w:t xml:space="preserve">Mục đích: </w:t>
      </w:r>
      <w:r>
        <w:rPr>
          <w:rFonts w:ascii="Times New Roman" w:cs="Times New Roman" w:eastAsia="Times New Roman" w:hAnsi="Times New Roman"/>
          <w:i/>
          <w:iCs/>
          <w:color w:val="404040"/>
          <w:sz w:val="21"/>
          <w:szCs w:val="21"/>
        </w:rPr>
        <w:t xml:space="preserve">Xác định mức rủi ro nguồn gỗ có kiểm soát (Controlled Wood) theo từng vùng cung ứng và biện pháp kiểm soát.</w:t>
      </w:r>
    </w:p>
    <w:p>
      <w:pPr>
        <w:spacing w:after="60" w:before="0" w:line="264"/>
      </w:pPr>
      <w:r>
        <w:rPr>
          <w:rFonts w:ascii="Times New Roman" w:cs="Times New Roman" w:eastAsia="Times New Roman" w:hAnsi="Times New Roman"/>
          <w:b/>
          <w:bCs/>
          <w:i/>
          <w:iCs/>
          <w:color w:val="2E75B6"/>
          <w:sz w:val="21"/>
          <w:szCs w:val="21"/>
        </w:rPr>
        <w:t xml:space="preserve">Tham chiếu FSC: </w:t>
      </w:r>
      <w:r>
        <w:rPr>
          <w:rFonts w:ascii="Times New Roman" w:cs="Times New Roman" w:eastAsia="Times New Roman" w:hAnsi="Times New Roman"/>
          <w:i/>
          <w:iCs/>
          <w:color w:val="404040"/>
          <w:sz w:val="21"/>
          <w:szCs w:val="21"/>
        </w:rPr>
        <w:t xml:space="preserve">FSC-STD-40-005 V3-1 (đánh giá rủi ro, biện pháp kiểm soát, tham vấn bên liên quan — mục 6) và FSC-CNRA-VN V1-0. Rà soát tối thiểu mỗi năm một lần.</w:t>
      </w:r>
    </w:p>
    <w:p>
      <w:pPr>
        <w:keepNext/>
        <w:pBdr>
          <w:bottom w:val="single" w:color="1F3864" w:sz="6" w:space="2"/>
        </w:pBdr>
        <w:spacing w:after="80" w:before="160" w:line="264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I. </w:t>
      </w: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THÔNG TIN VÙNG CUNG ỨNG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rPr>
          <w:cantSplit/>
          <w:trHeight w:val="400" w:hRule="atLeast"/>
        </w:trPr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Tên vùng cung ứng (xã / khu vực)</w:t>
            </w:r>
          </w:p>
        </w:tc>
        <w:tc>
          <w:tcPr>
            <w:tcW w:type="dxa" w:w="61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Số lượng chủ rừng / hộ trong vùng</w:t>
            </w:r>
          </w:p>
        </w:tc>
        <w:tc>
          <w:tcPr>
            <w:tcW w:type="dxa" w:w="61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Loại rừng / loài cây chủ yếu</w:t>
            </w:r>
          </w:p>
        </w:tc>
        <w:tc>
          <w:tcPr>
            <w:tcW w:type="dxa" w:w="61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Phiên bản CNRA áp dụng</w:t>
            </w:r>
          </w:p>
        </w:tc>
        <w:tc>
          <w:tcPr>
            <w:tcW w:type="dxa" w:w="61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color w:val="595959"/>
                <w:sz w:val="22"/>
                <w:szCs w:val="22"/>
              </w:rPr>
              <w:t xml:space="preserve">FSC-CNRA-VN V1-0   ☐ Đã kiểm tra phiên bản mới nhất trên FSC ngày ……/……/20……</w:t>
            </w:r>
          </w:p>
        </w:tc>
      </w:tr>
      <w:tr>
        <w:trPr>
          <w:cantSplit/>
          <w:trHeight w:val="400" w:hRule="atLeast"/>
        </w:trPr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Ngày cập nhật bản đồ vùng cung ứng gần nhất</w:t>
            </w:r>
          </w:p>
        </w:tc>
        <w:tc>
          <w:tcPr>
            <w:tcW w:type="dxa" w:w="61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color w:val="595959"/>
                <w:sz w:val="22"/>
                <w:szCs w:val="22"/>
              </w:rPr>
              <w:t xml:space="preserve">……/……/20……</w:t>
            </w:r>
          </w:p>
        </w:tc>
      </w:tr>
    </w:tbl>
    <w:p>
      <w:pPr>
        <w:keepNext/>
        <w:pBdr>
          <w:bottom w:val="single" w:color="1F3864" w:sz="6" w:space="2"/>
        </w:pBdr>
        <w:spacing w:after="80" w:before="160" w:line="264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II. </w:t>
      </w: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ĐÁNH GIÁ CHỈ SỐ RỦI RO THEO 5 NHÓM CW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4998"/>
        <w:gridCol w:w="1150"/>
        <w:gridCol w:w="1150"/>
        <w:gridCol w:w="1700"/>
      </w:tblGrid>
      <w:tr>
        <w:trPr>
          <w:cantSplit/>
          <w:tblHeader/>
        </w:trPr>
        <w:tc>
          <w:tcPr>
            <w:tcW w:type="dxa" w:w="6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STT</w:t>
            </w:r>
          </w:p>
        </w:tc>
        <w:tc>
          <w:tcPr>
            <w:tcW w:type="dxa" w:w="499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Chỉ số rủi ro</w:t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Rủi ro thấp</w:t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Rủi ro xác định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Ghi chú / Bằng chứng</w:t>
            </w:r>
          </w:p>
        </w:tc>
      </w:tr>
      <w:tr>
        <w:trPr>
          <w:cantSplit/>
          <w:trHeight w:val="380" w:hRule="atLeast"/>
        </w:trPr>
        <w:tc>
          <w:tcPr>
            <w:tcW w:type="dxa" w:w="9638"/>
            <w:gridSpan w:val="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2"/>
                <w:szCs w:val="22"/>
              </w:rPr>
              <w:t xml:space="preserve">CW1 — Gỗ khai thác bất hợp pháp</w:t>
            </w:r>
          </w:p>
        </w:tc>
      </w:tr>
      <w:tr>
        <w:trPr>
          <w:cantSplit/>
          <w:trHeight w:val="420" w:hRule="atLeast"/>
        </w:trPr>
        <w:tc>
          <w:tcPr>
            <w:tcW w:type="dxa" w:w="6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499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Quyền sử dụng đất hợp pháp (sổ đỏ / hồ sơ giao đất).</w:t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☐</w:t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☐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6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499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Hồ sơ khai thác, Bảng kê lâm sản lập và xác nhận đúng quy định.</w:t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☐</w:t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☐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6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499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Nghĩa vụ thuế, phí liên quan đến khai thác, mua bán gỗ.</w:t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☐</w:t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☐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6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499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Yêu cầu môi trường trong khai thác (rác thải, dầu nhớt, xói mòn).</w:t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☐</w:t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☐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6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499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An toàn, vệ sinh lao động trong khai thác, vận chuyển.</w:t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☐</w:t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☐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6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499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Sử dụng lao động hợp pháp (hợp đồng, tiền lương, bảo hiểm).</w:t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☐</w:t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☐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6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499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Không có tranh chấp đất đai / khiếu nại môi trường được ghi nhận.</w:t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☐</w:t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☐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9638"/>
            <w:gridSpan w:val="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2"/>
                <w:szCs w:val="22"/>
              </w:rPr>
              <w:t xml:space="preserve">CW2 — Vi phạm quyền truyền thống và quyền con người</w:t>
            </w:r>
          </w:p>
        </w:tc>
      </w:tr>
      <w:tr>
        <w:trPr>
          <w:cantSplit/>
          <w:trHeight w:val="420" w:hRule="atLeast"/>
        </w:trPr>
        <w:tc>
          <w:tcPr>
            <w:tcW w:type="dxa" w:w="6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499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Quyền, tập quán của cộng đồng địa phương và người dân tộc thiểu số được tôn trọng (đồng thuận tự nguyện, được thông tin trước khi có tác động).</w:t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☐</w:t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☐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6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499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Không có lao động trẻ em, lao động cưỡng bức, phân biệt đối xử; tôn trọng quyền tự do hội họp của người lao động.</w:t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☐</w:t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☐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9638"/>
            <w:gridSpan w:val="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2"/>
                <w:szCs w:val="22"/>
              </w:rPr>
              <w:t xml:space="preserve">CW3 — Đe dọa giá trị bảo tồn cao (HCV)</w:t>
            </w:r>
          </w:p>
        </w:tc>
      </w:tr>
      <w:tr>
        <w:trPr>
          <w:cantSplit/>
          <w:trHeight w:val="420" w:hRule="atLeast"/>
        </w:trPr>
        <w:tc>
          <w:tcPr>
            <w:tcW w:type="dxa" w:w="6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499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Không thuộc rừng phòng hộ / đặc dụng / khoanh nuôi bảo vệ.</w:t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☐</w:t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☐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6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499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HCV1–3: loài quý hiếm, hệ sinh thái / sinh cảnh hiếm không bị đe dọa.</w:t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☐</w:t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☐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6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499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HCV4: nguồn nước, hành lang ven suối, chống xói mòn được bảo vệ.</w:t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☐</w:t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☐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6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499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HCV5–6: nhu cầu cơ bản và giá trị văn hóa của cộng đồng không bị ảnh hưởng.</w:t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☐</w:t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☐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6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499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Hạ tầng khai thác (đường vận xuất) không gây suy thoái môi trường rõ rệt.</w:t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☐</w:t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☐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9638"/>
            <w:gridSpan w:val="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2"/>
                <w:szCs w:val="22"/>
              </w:rPr>
              <w:t xml:space="preserve">CW4 — Chuyển đổi rừng tự nhiên</w:t>
            </w:r>
          </w:p>
        </w:tc>
      </w:tr>
      <w:tr>
        <w:trPr>
          <w:cantSplit/>
          <w:trHeight w:val="420" w:hRule="atLeast"/>
        </w:trPr>
        <w:tc>
          <w:tcPr>
            <w:tcW w:type="dxa" w:w="6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499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Không chuyển đổi từ rừng tự nhiên sang rừng trồng / mục đích khác sau 31/12/2020.</w:t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☐</w:t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☐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9638"/>
            <w:gridSpan w:val="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2"/>
                <w:szCs w:val="22"/>
              </w:rPr>
              <w:t xml:space="preserve">CW5 — Cây biến đổi gen</w:t>
            </w:r>
          </w:p>
        </w:tc>
      </w:tr>
      <w:tr>
        <w:trPr>
          <w:cantSplit/>
          <w:trHeight w:val="420" w:hRule="atLeast"/>
        </w:trPr>
        <w:tc>
          <w:tcPr>
            <w:tcW w:type="dxa" w:w="64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499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Không trồng cây biến đổi gen (GMO) trong vùng cung ứng.</w:t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☐</w:t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☐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</w:tbl>
    <w:p>
      <w:pPr>
        <w:keepNext/>
        <w:pBdr>
          <w:bottom w:val="single" w:color="1F3864" w:sz="6" w:space="2"/>
        </w:pBdr>
        <w:spacing w:after="80" w:before="160" w:line="264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III. </w:t>
      </w: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BIỆN PHÁP KIỂM SOÁT &amp; KẾT LUẬN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rPr>
          <w:cantSplit/>
          <w:trHeight w:val="400" w:hRule="atLeast"/>
        </w:trPr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Nguồn thông tin sử dụng</w:t>
            </w:r>
          </w:p>
        </w:tc>
        <w:tc>
          <w:tcPr>
            <w:tcW w:type="dxa" w:w="61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color w:val="595959"/>
                <w:sz w:val="22"/>
                <w:szCs w:val="22"/>
              </w:rPr>
              <w:t xml:space="preserve">☐ CNRA   ☐ Bản đồ / ảnh viễn thám   ☐ Kiểm tra hiện trường   ☐ Tham vấn (số BM-TV: ………)</w:t>
            </w:r>
          </w:p>
        </w:tc>
      </w:tr>
    </w:tbl>
    <w:p>
      <w:pPr>
        <w:spacing w:after="80" w:before="0" w:line="264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120" w:hRule="atLeast"/>
        </w:trPr>
        <w:tc>
          <w:tcPr>
            <w:tcW w:type="dxa" w:w="96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Biện pháp kiểm soát (control measures) áp dụng cho chỉ số “Rủi ro xác định” — ưu tiên biện pháp bắt buộc nêu trong FSC-CNRA-VN</w:t>
            </w:r>
          </w:p>
        </w:tc>
      </w:tr>
    </w:tbl>
    <w:p>
      <w:pPr>
        <w:spacing w:after="80" w:before="0" w:line="264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rHeight w:val="520" w:hRule="atLeast"/>
        </w:trP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Kết luận</w:t>
            </w:r>
          </w:p>
        </w:tc>
        <w:tc>
          <w:tcPr>
            <w:tcW w:type="dxa" w:w="70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☐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Tiếp tục thu mua</w:t>
            </w: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    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☐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Thu mua có điều kiện</w:t>
            </w: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    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☐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Loại trừ</w:t>
            </w:r>
          </w:p>
        </w:tc>
      </w:tr>
    </w:tbl>
    <w:p>
      <w:pPr>
        <w:keepNext/>
        <w:spacing w:after="0" w:before="140" w:line="264"/>
      </w:pPr>
      <w:r>
        <w:rPr>
          <w:rFonts w:ascii="Times New Roman" w:cs="Times New Roman" w:eastAsia="Times New Roman" w:hAnsi="Times New Roman"/>
          <w:i/>
          <w:iCs/>
          <w:color w:val="7F7F7F"/>
          <w:sz w:val="18"/>
          <w:szCs w:val="18"/>
        </w:rPr>
        <w:t xml:space="preserve">Hướng dẫn ghi: đánh dấu ☒ vào ô lựa chọn; ghi “N/A” với nội dung không áp dụng; đính kèm bản chụp/scan bằng chứng và lưu theo hồ sơ của QT-FSC-01 — Bước 9: Đánh giá rủi ro FSC/CNRA.</w:t>
      </w:r>
    </w:p>
    <w:p>
      <w:pPr>
        <w:keepNext/>
        <w:spacing w:after="60" w:before="180" w:line="264"/>
        <w:jc w:val="righ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……………, ngày …… tháng …… năm 20……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keepNext/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NGƯỜI ĐÁNH GIÁ</w:t>
            </w:r>
          </w:p>
          <w:p>
            <w:pPr>
              <w:keepNext/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(QA/FSC)</w:t>
            </w:r>
          </w:p>
          <w:p>
            <w:pPr>
              <w:keepNext/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595959"/>
                <w:sz w:val="20"/>
                <w:szCs w:val="20"/>
              </w:rPr>
              <w:t xml:space="preserve">(Ký, ghi rõ họ tên)</w:t>
            </w:r>
          </w:p>
          <w:p>
            <w:pPr>
              <w:keepNext/>
              <w:spacing w:after="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  <w:p>
            <w:pPr>
              <w:keepNext/>
              <w:spacing w:after="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  <w:p>
            <w:pPr>
              <w:keepNext/>
              <w:spacing w:after="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color w:val="7F7F7F"/>
                <w:sz w:val="23"/>
                <w:szCs w:val="23"/>
              </w:rPr>
              <w:t xml:space="preserve">……………………………………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keepNext/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PHÊ DUYỆT</w:t>
            </w:r>
          </w:p>
          <w:p>
            <w:pPr>
              <w:keepNext/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(Ban Giám đốc)</w:t>
            </w:r>
          </w:p>
          <w:p>
            <w:pPr>
              <w:keepNext/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595959"/>
                <w:sz w:val="20"/>
                <w:szCs w:val="20"/>
              </w:rPr>
              <w:t xml:space="preserve">(Ký, ghi rõ họ tên)</w:t>
            </w:r>
          </w:p>
          <w:p>
            <w:pPr>
              <w:keepNext/>
              <w:spacing w:after="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  <w:p>
            <w:pPr>
              <w:keepNext/>
              <w:spacing w:after="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  <w:p>
            <w:pPr>
              <w:keepNext/>
              <w:spacing w:after="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color w:val="7F7F7F"/>
                <w:sz w:val="23"/>
                <w:szCs w:val="23"/>
              </w:rPr>
              <w:t xml:space="preserve">……………………………………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2100" w:right="1134" w:bottom="1000" w:left="1134" w:header="567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F7F7F" w:sz="4" w:space="4"/>
      </w:pBdr>
      <w:spacing w:after="0" w:before="0" w:line="264"/>
    </w:pPr>
    <w:r>
      <w:rPr>
        <w:rFonts w:ascii="Times New Roman" w:cs="Times New Roman" w:eastAsia="Times New Roman" w:hAnsi="Times New Roman"/>
        <w:i/>
        <w:iCs/>
        <w:color w:val="7F7F7F"/>
        <w:sz w:val="16"/>
        <w:szCs w:val="16"/>
      </w:rPr>
      <w:t xml:space="preserve">HAK Group — Tài liệu kiểm soát nội bộ. Không tự ý sửa đổi, sao chép khi chưa được phê duyệt.</w:t>
    </w:r>
    <w:r>
      <w:rPr>
        <w:rFonts w:ascii="Times New Roman" w:cs="Times New Roman" w:eastAsia="Times New Roman" w:hAnsi="Times New Roman"/>
        <w:sz w:val="16"/>
        <w:szCs w:val="16"/>
      </w:rPr>
      <w:ptab w:alignment="right" w:relativeTo="margin" w:leader="none"/>
    </w:r>
    <w:r>
      <w:rPr>
        <w:rFonts w:ascii="Times New Roman" w:cs="Times New Roman" w:eastAsia="Times New Roman" w:hAnsi="Times New Roman"/>
        <w:b/>
        <w:bCs/>
        <w:color w:val="1F3864"/>
        <w:sz w:val="16"/>
        <w:szCs w:val="16"/>
      </w:rPr>
      <w:t xml:space="preserve">BM-FSC-09 ·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900"/>
      <w:gridCol w:w="4338"/>
      <w:gridCol w:w="2400"/>
    </w:tblGrid>
    <w:tr>
      <w:trPr>
        <w:cantSplit/>
        <w:trHeight w:val="1050" w:hRule="atLeast"/>
      </w:trPr>
      <w:tc>
        <w:tcPr>
          <w:tcW w:type="dxa" w:w="2900"/>
          <w:tcBorders>
            <w:top w:val="single" w:color="7F7F7F" w:sz="4"/>
            <w:left w:val="single" w:color="7F7F7F" w:sz="4"/>
            <w:bottom w:val="single" w:color="7F7F7F" w:sz="4"/>
            <w:right w:val="single" w:color="7F7F7F" w:sz="4"/>
          </w:tcBorders>
          <w:tcMar>
            <w:top w:type="dxa" w:w="50"/>
            <w:left w:type="dxa" w:w="100"/>
            <w:bottom w:type="dxa" w:w="50"/>
            <w:right w:type="dxa" w:w="100"/>
          </w:tcMar>
          <w:vAlign w:val="center"/>
        </w:tcPr>
        <w:p>
          <w:pPr>
            <w:spacing w:after="10" w:before="0" w:line="264"/>
            <w:jc w:val="center"/>
          </w:pPr>
          <w:r>
            <w:rPr>
              <w:rFonts w:ascii="Times New Roman" w:cs="Times New Roman" w:eastAsia="Times New Roman" w:hAnsi="Times New Roman"/>
              <w:b/>
              <w:bCs/>
              <w:color w:val="1F3864"/>
              <w:sz w:val="28"/>
              <w:szCs w:val="28"/>
            </w:rPr>
            <w:t xml:space="preserve">HAK GROUP</w:t>
          </w:r>
        </w:p>
        <w:p>
          <w:pPr>
            <w:spacing w:after="10" w:before="0" w:line="264"/>
            <w:jc w:val="center"/>
          </w:pPr>
          <w:r>
            <w:rPr>
              <w:rFonts w:ascii="Times New Roman" w:cs="Times New Roman" w:eastAsia="Times New Roman" w:hAnsi="Times New Roman"/>
              <w:b/>
              <w:bCs/>
              <w:sz w:val="16"/>
              <w:szCs w:val="16"/>
            </w:rPr>
            <w:t xml:space="preserve">CÔNG TY TNHH HOÀNG ANH KHÔI</w:t>
          </w:r>
        </w:p>
        <w:p>
          <w:pPr>
            <w:spacing w:after="0" w:before="0" w:line="264"/>
            <w:jc w:val="center"/>
          </w:pPr>
          <w:r>
            <w:rPr>
              <w:rFonts w:ascii="Times New Roman" w:cs="Times New Roman" w:eastAsia="Times New Roman" w:hAnsi="Times New Roman"/>
              <w:i/>
              <w:iCs/>
              <w:color w:val="595959"/>
              <w:sz w:val="17"/>
              <w:szCs w:val="17"/>
            </w:rPr>
            <w:t xml:space="preserve">Hệ thống kiểm soát FSC</w:t>
          </w:r>
        </w:p>
      </w:tc>
      <w:tc>
        <w:tcPr>
          <w:tcW w:type="dxa" w:w="4338"/>
          <w:tcBorders>
            <w:top w:val="single" w:color="7F7F7F" w:sz="4"/>
            <w:left w:val="single" w:color="7F7F7F" w:sz="4"/>
            <w:bottom w:val="single" w:color="7F7F7F" w:sz="4"/>
            <w:right w:val="single" w:color="7F7F7F" w:sz="4"/>
          </w:tcBorders>
          <w:tcMar>
            <w:top w:type="dxa" w:w="50"/>
            <w:left w:type="dxa" w:w="100"/>
            <w:bottom w:type="dxa" w:w="50"/>
            <w:right w:type="dxa" w:w="100"/>
          </w:tcMar>
          <w:vAlign w:val="center"/>
        </w:tcPr>
        <w:p>
          <w:pPr>
            <w:spacing w:after="30" w:before="0" w:line="264"/>
            <w:jc w:val="center"/>
          </w:pPr>
          <w:r>
            <w:rPr>
              <w:rFonts w:ascii="Times New Roman" w:cs="Times New Roman" w:eastAsia="Times New Roman" w:hAnsi="Times New Roman"/>
              <w:b/>
              <w:bCs/>
              <w:color w:val="1F3864"/>
              <w:sz w:val="25"/>
              <w:szCs w:val="25"/>
            </w:rPr>
            <w:t xml:space="preserve">PHIẾU ĐÁNH GIÁ RỦI RO CNRA THEO VÙNG CUNG ỨNG</w:t>
          </w:r>
        </w:p>
        <w:p>
          <w:pPr>
            <w:spacing w:after="0" w:before="0" w:line="264"/>
            <w:jc w:val="center"/>
          </w:pPr>
          <w:r>
            <w:rPr>
              <w:rFonts w:ascii="Times New Roman" w:cs="Times New Roman" w:eastAsia="Times New Roman" w:hAnsi="Times New Roman"/>
              <w:i/>
              <w:iCs/>
              <w:color w:val="404040"/>
              <w:sz w:val="18"/>
              <w:szCs w:val="18"/>
            </w:rPr>
            <w:t xml:space="preserve">Căn cứ: QT-FSC-01 — Bước 9: Đánh giá rủi ro FSC/CNRA</w:t>
          </w:r>
        </w:p>
      </w:tc>
      <w:tc>
        <w:tcPr>
          <w:tcW w:type="dxa" w:w="2400"/>
          <w:tcBorders>
            <w:top w:val="single" w:color="7F7F7F" w:sz="4"/>
            <w:left w:val="single" w:color="7F7F7F" w:sz="4"/>
            <w:bottom w:val="single" w:color="7F7F7F" w:sz="4"/>
            <w:right w:val="single" w:color="7F7F7F" w:sz="4"/>
          </w:tcBorders>
          <w:tcMar>
            <w:top w:type="dxa" w:w="50"/>
            <w:left w:type="dxa" w:w="100"/>
            <w:bottom w:type="dxa" w:w="50"/>
            <w:right w:type="dxa" w:w="100"/>
          </w:tcMar>
          <w:vAlign w:val="center"/>
        </w:tcPr>
        <w:p>
          <w:pPr>
            <w:spacing w:after="10" w:before="0" w:line="264"/>
          </w:pPr>
          <w:r>
            <w:rPr>
              <w:rFonts w:ascii="Times New Roman" w:cs="Times New Roman" w:eastAsia="Times New Roman" w:hAnsi="Times New Roman"/>
              <w:color w:val="404040"/>
              <w:sz w:val="18"/>
              <w:szCs w:val="18"/>
            </w:rPr>
            <w:t xml:space="preserve">Mã số: </w:t>
          </w:r>
          <w:r>
            <w:rPr>
              <w:rFonts w:ascii="Times New Roman" w:cs="Times New Roman" w:eastAsia="Times New Roman" w:hAnsi="Times New Roman"/>
              <w:b/>
              <w:bCs/>
              <w:sz w:val="18"/>
              <w:szCs w:val="18"/>
            </w:rPr>
            <w:t xml:space="preserve">BM-FSC-09</w:t>
          </w:r>
        </w:p>
        <w:p>
          <w:pPr>
            <w:spacing w:after="10" w:before="0" w:line="264"/>
          </w:pPr>
          <w:r>
            <w:rPr>
              <w:rFonts w:ascii="Times New Roman" w:cs="Times New Roman" w:eastAsia="Times New Roman" w:hAnsi="Times New Roman"/>
              <w:color w:val="404040"/>
              <w:sz w:val="18"/>
              <w:szCs w:val="18"/>
            </w:rPr>
            <w:t xml:space="preserve">Phiên bản: </w:t>
          </w:r>
          <w:r>
            <w:rPr>
              <w:rFonts w:ascii="Times New Roman" w:cs="Times New Roman" w:eastAsia="Times New Roman" w:hAnsi="Times New Roman"/>
              <w:b/>
              <w:bCs/>
              <w:sz w:val="18"/>
              <w:szCs w:val="18"/>
            </w:rPr>
            <w:t xml:space="preserve">1.0</w:t>
          </w:r>
        </w:p>
        <w:p>
          <w:pPr>
            <w:spacing w:after="10" w:before="0" w:line="264"/>
          </w:pPr>
          <w:r>
            <w:rPr>
              <w:rFonts w:ascii="Times New Roman" w:cs="Times New Roman" w:eastAsia="Times New Roman" w:hAnsi="Times New Roman"/>
              <w:color w:val="404040"/>
              <w:sz w:val="18"/>
              <w:szCs w:val="18"/>
            </w:rPr>
            <w:t xml:space="preserve">Ngày ban hành: </w:t>
          </w:r>
          <w:r>
            <w:rPr>
              <w:rFonts w:ascii="Times New Roman" w:cs="Times New Roman" w:eastAsia="Times New Roman" w:hAnsi="Times New Roman"/>
              <w:b/>
              <w:bCs/>
              <w:sz w:val="18"/>
              <w:szCs w:val="18"/>
            </w:rPr>
            <w:t xml:space="preserve">26/07/2026</w:t>
          </w:r>
        </w:p>
        <w:p>
          <w:pPr>
            <w:spacing w:after="0" w:before="0" w:line="264"/>
          </w:pPr>
          <w:r>
            <w:rPr>
              <w:rFonts w:ascii="Times New Roman" w:cs="Times New Roman" w:eastAsia="Times New Roman" w:hAnsi="Times New Roman"/>
              <w:color w:val="404040"/>
              <w:sz w:val="18"/>
              <w:szCs w:val="18"/>
            </w:rPr>
            <w:t xml:space="preserve">Trang: </w:t>
          </w:r>
          <w:r>
            <w:rPr>
              <w:rFonts w:ascii="Times New Roman" w:cs="Times New Roman" w:eastAsia="Times New Roman" w:hAnsi="Times New Roman"/>
              <w:b/>
              <w:bCs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Times New Roman" w:cs="Times New Roman" w:eastAsia="Times New Roman" w:hAnsi="Times New Roman"/>
              <w:b/>
              <w:bCs/>
              <w:sz w:val="18"/>
              <w:szCs w:val="18"/>
            </w:rPr>
            <w:t xml:space="preserve">/</w:t>
          </w:r>
          <w:r>
            <w:rPr>
              <w:rFonts w:ascii="Times New Roman" w:cs="Times New Roman" w:eastAsia="Times New Roman" w:hAnsi="Times New Roman"/>
              <w:b/>
              <w:bCs/>
              <w:sz w:val="18"/>
              <w:szCs w:val="18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  <w:p>
    <w:pPr>
      <w:spacing w:after="0" w:before="0" w:line="264"/>
    </w:pPr>
    <w:r>
      <w:rPr>
        <w:rFonts w:ascii="Times New Roman" w:cs="Times New Roman" w:eastAsia="Times New Roman" w:hAnsi="Times New Roman"/>
        <w:sz w:val="23"/>
        <w:szCs w:val="23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BM-FSC-09 — PHIẾU ĐÁNH GIÁ RỦI RO CNRA THEO VÙNG CUNG ỨNG</dc:title>
  <dc:creator>HAK Group</dc:creator>
  <dc:description>Căn cứ: QT-FSC-01 — Bước 9: Đánh giá rủi ro FSC/CNRA</dc:description>
  <cp:lastModifiedBy>Un-named</cp:lastModifiedBy>
  <cp:revision>1</cp:revision>
  <dcterms:created xsi:type="dcterms:W3CDTF">2026-10-14T21:04:06.058Z</dcterms:created>
  <dcterms:modified xsi:type="dcterms:W3CDTF">2026-10-14T21:04:06.058Z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