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Số: </w:t>
            </w:r>
            <w:r>
              <w:rPr>
                <w:rFonts w:ascii="Times New Roman" w:cs="Times New Roman" w:eastAsia="Times New Roman" w:hAnsi="Times New Roman"/>
                <w:sz w:val="22"/>
                <w:szCs w:val="22"/>
              </w:rPr>
              <w:t xml:space="preserve">………… /BM-FSC-12</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center"/>
          </w:tcPr>
          <w:p>
            <w:pPr>
              <w:spacing w:after="40" w:before="0" w:line="264"/>
              <w:jc w:val="right"/>
            </w:pPr>
            <w:r>
              <w:rPr>
                <w:rFonts w:ascii="Times New Roman" w:cs="Times New Roman" w:eastAsia="Times New Roman" w:hAnsi="Times New Roman"/>
                <w:b/>
                <w:bCs/>
                <w:sz w:val="22"/>
                <w:szCs w:val="22"/>
              </w:rPr>
              <w:t xml:space="preserve">Ngày lập: </w:t>
            </w:r>
            <w:r>
              <w:rPr>
                <w:rFonts w:ascii="Times New Roman" w:cs="Times New Roman" w:eastAsia="Times New Roman" w:hAnsi="Times New Roman"/>
                <w:sz w:val="22"/>
                <w:szCs w:val="22"/>
              </w:rPr>
              <w:t xml:space="preserve">……/……/20……</w:t>
            </w:r>
          </w:p>
        </w:tc>
      </w:tr>
    </w:tbl>
    <w:p>
      <w:pPr>
        <w:spacing w:after="20" w:before="60" w:line="264"/>
      </w:pPr>
      <w:r>
        <w:rPr>
          <w:rFonts w:ascii="Times New Roman" w:cs="Times New Roman" w:eastAsia="Times New Roman" w:hAnsi="Times New Roman"/>
          <w:b/>
          <w:bCs/>
          <w:i/>
          <w:iCs/>
          <w:color w:val="1F3864"/>
          <w:sz w:val="21"/>
          <w:szCs w:val="21"/>
        </w:rPr>
        <w:t xml:space="preserve">Mục đích: </w:t>
      </w:r>
      <w:r>
        <w:rPr>
          <w:rFonts w:ascii="Times New Roman" w:cs="Times New Roman" w:eastAsia="Times New Roman" w:hAnsi="Times New Roman"/>
          <w:i/>
          <w:iCs/>
          <w:color w:val="404040"/>
          <w:sz w:val="21"/>
          <w:szCs w:val="21"/>
        </w:rPr>
        <w:t xml:space="preserve">Tự đánh giá hằng năm mức độ tuân thủ yêu cầu lao động cốt lõi FSC tại Công ty, cung cấp cho tổ chức chứng nhận trước kỳ đánh giá.</w:t>
      </w:r>
    </w:p>
    <w:p>
      <w:pPr>
        <w:spacing w:after="60" w:before="0" w:line="264"/>
      </w:pPr>
      <w:r>
        <w:rPr>
          <w:rFonts w:ascii="Times New Roman" w:cs="Times New Roman" w:eastAsia="Times New Roman" w:hAnsi="Times New Roman"/>
          <w:b/>
          <w:bCs/>
          <w:i/>
          <w:iCs/>
          <w:color w:val="2E75B6"/>
          <w:sz w:val="21"/>
          <w:szCs w:val="21"/>
        </w:rPr>
        <w:t xml:space="preserve">Tham chiếu FSC: </w:t>
      </w:r>
      <w:r>
        <w:rPr>
          <w:rFonts w:ascii="Times New Roman" w:cs="Times New Roman" w:eastAsia="Times New Roman" w:hAnsi="Times New Roman"/>
          <w:i/>
          <w:iCs/>
          <w:color w:val="404040"/>
          <w:sz w:val="21"/>
          <w:szCs w:val="21"/>
        </w:rPr>
        <w:t xml:space="preserve">FSC-STD-40-004 V3-1 mục 7 — 7.2 lao động trẻ em, 7.3 lao động cưỡng bức, 7.4 phân biệt đối xử, 7.5 tự do hội họp và thương lượng tập thể.</w:t>
      </w:r>
    </w:p>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 </w:t>
      </w:r>
      <w:r>
        <w:rPr>
          <w:rFonts w:ascii="Times New Roman" w:cs="Times New Roman" w:eastAsia="Times New Roman" w:hAnsi="Times New Roman"/>
          <w:b/>
          <w:bCs/>
          <w:color w:val="1F3864"/>
          <w:sz w:val="24"/>
          <w:szCs w:val="24"/>
        </w:rPr>
        <w:t xml:space="preserve">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Kỳ tự đánh giá / ngày thực hiện</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Năm 20……   |   ……/……/20……</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Tổng số lao động (gồm thời vụ, thuê ngoài)</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người   (nữ: ………, dưới 18 tuổi: ………)</w:t>
            </w:r>
          </w:p>
        </w:tc>
      </w:tr>
      <w:tr>
        <w:trPr>
          <w:cantSplit/>
          <w:trHeight w:val="400" w:hRule="atLeast"/>
        </w:trPr>
        <w:tc>
          <w:tcPr>
            <w:tcW w:type="dxa" w:w="35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Chính sách lao động cốt lõi FSC</w:t>
            </w:r>
          </w:p>
        </w:tc>
        <w:tc>
          <w:tcPr>
            <w:tcW w:type="dxa" w:w="61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color w:val="595959"/>
                <w:sz w:val="22"/>
                <w:szCs w:val="22"/>
              </w:rPr>
              <w:t xml:space="preserve">☐ Đã ban hành, công bố cho người lao động   — Số/ngày: ……………</w:t>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 </w:t>
      </w:r>
      <w:r>
        <w:rPr>
          <w:rFonts w:ascii="Times New Roman" w:cs="Times New Roman" w:eastAsia="Times New Roman" w:hAnsi="Times New Roman"/>
          <w:b/>
          <w:bCs/>
          <w:color w:val="1F3864"/>
          <w:sz w:val="24"/>
          <w:szCs w:val="24"/>
        </w:rPr>
        <w:t xml:space="preserve">ĐÁNH GIÁ TUÂN THỦ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5298"/>
        <w:gridCol w:w="1000"/>
        <w:gridCol w:w="1000"/>
        <w:gridCol w:w="1700"/>
      </w:tblGrid>
      <w:tr>
        <w:trPr>
          <w:cantSplit/>
          <w:tblHeader/>
        </w:trPr>
        <w:tc>
          <w:tcPr>
            <w:tcW w:type="dxa" w:w="64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STT</w:t>
            </w:r>
          </w:p>
        </w:tc>
        <w:tc>
          <w:tcPr>
            <w:tcW w:type="dxa" w:w="5298"/>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color w:val="FFFFFF"/>
                <w:sz w:val="21"/>
                <w:szCs w:val="21"/>
              </w:rPr>
              <w:t xml:space="preserve">Yêu cầu</w:t>
            </w:r>
          </w:p>
        </w:tc>
        <w:tc>
          <w:tcPr>
            <w:tcW w:type="dxa" w:w="10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Có</w:t>
            </w:r>
          </w:p>
        </w:tc>
        <w:tc>
          <w:tcPr>
            <w:tcW w:type="dxa" w:w="10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Không</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b/>
                <w:bCs/>
                <w:color w:val="FFFFFF"/>
                <w:sz w:val="21"/>
                <w:szCs w:val="21"/>
              </w:rPr>
              <w:t xml:space="preserve">Ghi chú / Bằng chứng</w:t>
            </w:r>
          </w:p>
        </w:tc>
      </w:tr>
      <w:tr>
        <w:trPr>
          <w:cantSplit/>
          <w:trHeight w:val="380" w:hRule="atLeast"/>
        </w:trPr>
        <w:tc>
          <w:tcPr>
            <w:tcW w:type="dxa" w:w="9638"/>
            <w:gridSpan w:val="5"/>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color w:val="1F3864"/>
                <w:sz w:val="22"/>
                <w:szCs w:val="22"/>
              </w:rPr>
              <w:t xml:space="preserve">7.2 — Lao động trẻ em</w:t>
            </w:r>
          </w:p>
        </w:tc>
      </w:tr>
      <w:tr>
        <w:trPr>
          <w:cantSplit/>
          <w:trHeight w:val="420" w:hRule="atLeast"/>
        </w:trPr>
        <w:tc>
          <w:tcPr>
            <w:tcW w:type="dxa" w:w="64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1</w:t>
            </w:r>
          </w:p>
        </w:tc>
        <w:tc>
          <w:tcPr>
            <w:tcW w:type="dxa" w:w="529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Không sử dụng lao động dưới 15 tuổi (hoặc dưới tuổi tối thiểu theo pháp luật, lấy mức cao hơn).</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20" w:hRule="atLeast"/>
        </w:trPr>
        <w:tc>
          <w:tcPr>
            <w:tcW w:type="dxa" w:w="64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2</w:t>
            </w:r>
          </w:p>
        </w:tc>
        <w:tc>
          <w:tcPr>
            <w:tcW w:type="dxa" w:w="529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Lao động từ 13 đến dưới 15 tuổi (nếu có) chỉ làm công việc nhẹ theo pháp luật cho phép, ngoài giờ học, không ảnh hưởng sức khỏe, sự phát triển.</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20" w:hRule="atLeast"/>
        </w:trPr>
        <w:tc>
          <w:tcPr>
            <w:tcW w:type="dxa" w:w="64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3</w:t>
            </w:r>
          </w:p>
        </w:tc>
        <w:tc>
          <w:tcPr>
            <w:tcW w:type="dxa" w:w="529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Người dưới 18 tuổi không làm công việc nặng nhọc, độc hại, nguy hiểm (trừ đào tạo theo quy định).</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20" w:hRule="atLeast"/>
        </w:trPr>
        <w:tc>
          <w:tcPr>
            <w:tcW w:type="dxa" w:w="64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4</w:t>
            </w:r>
          </w:p>
        </w:tc>
        <w:tc>
          <w:tcPr>
            <w:tcW w:type="dxa" w:w="529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Có hồ sơ xác minh tuổi (bản sao CCCD) của người lao động.</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380" w:hRule="atLeast"/>
        </w:trPr>
        <w:tc>
          <w:tcPr>
            <w:tcW w:type="dxa" w:w="9638"/>
            <w:gridSpan w:val="5"/>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color w:val="1F3864"/>
                <w:sz w:val="22"/>
                <w:szCs w:val="22"/>
              </w:rPr>
              <w:t xml:space="preserve">7.3 — Lao động cưỡng bức, bắt buộc</w:t>
            </w:r>
          </w:p>
        </w:tc>
      </w:tr>
      <w:tr>
        <w:trPr>
          <w:cantSplit/>
          <w:trHeight w:val="420" w:hRule="atLeast"/>
        </w:trPr>
        <w:tc>
          <w:tcPr>
            <w:tcW w:type="dxa" w:w="64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1</w:t>
            </w:r>
          </w:p>
        </w:tc>
        <w:tc>
          <w:tcPr>
            <w:tcW w:type="dxa" w:w="529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Không giữ giấy tờ tùy thân, không giữ lương, không buộc đặt cọc của người lao động.</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20" w:hRule="atLeast"/>
        </w:trPr>
        <w:tc>
          <w:tcPr>
            <w:tcW w:type="dxa" w:w="64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2</w:t>
            </w:r>
          </w:p>
        </w:tc>
        <w:tc>
          <w:tcPr>
            <w:tcW w:type="dxa" w:w="529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Không có lao động trả nợ, lao động bị ép buộc, đe dọa hoặc hạn chế đi lại.</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20" w:hRule="atLeast"/>
        </w:trPr>
        <w:tc>
          <w:tcPr>
            <w:tcW w:type="dxa" w:w="64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3</w:t>
            </w:r>
          </w:p>
        </w:tc>
        <w:tc>
          <w:tcPr>
            <w:tcW w:type="dxa" w:w="529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Người lao động được tự do chấm dứt hợp đồng khi báo trước theo quy định.</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380" w:hRule="atLeast"/>
        </w:trPr>
        <w:tc>
          <w:tcPr>
            <w:tcW w:type="dxa" w:w="9638"/>
            <w:gridSpan w:val="5"/>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color w:val="1F3864"/>
                <w:sz w:val="22"/>
                <w:szCs w:val="22"/>
              </w:rPr>
              <w:t xml:space="preserve">7.4 — Phân biệt đối xử trong lao động, việc làm</w:t>
            </w:r>
          </w:p>
        </w:tc>
      </w:tr>
      <w:tr>
        <w:trPr>
          <w:cantSplit/>
          <w:trHeight w:val="420" w:hRule="atLeast"/>
        </w:trPr>
        <w:tc>
          <w:tcPr>
            <w:tcW w:type="dxa" w:w="64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1</w:t>
            </w:r>
          </w:p>
        </w:tc>
        <w:tc>
          <w:tcPr>
            <w:tcW w:type="dxa" w:w="529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Tuyển dụng, tiền lương, đào tạo, thăng tiến, chấm dứt hợp đồng dựa trên năng lực, không phân biệt giới tính, dân tộc, tôn giáo…</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20" w:hRule="atLeast"/>
        </w:trPr>
        <w:tc>
          <w:tcPr>
            <w:tcW w:type="dxa" w:w="64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2</w:t>
            </w:r>
          </w:p>
        </w:tc>
        <w:tc>
          <w:tcPr>
            <w:tcW w:type="dxa" w:w="529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Trả công như nhau cho công việc có giá trị như nhau (nam và nữ).</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20" w:hRule="atLeast"/>
        </w:trPr>
        <w:tc>
          <w:tcPr>
            <w:tcW w:type="dxa" w:w="64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3</w:t>
            </w:r>
          </w:p>
        </w:tc>
        <w:tc>
          <w:tcPr>
            <w:tcW w:type="dxa" w:w="529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Có kênh tiếp nhận phản ánh về phân biệt đối xử, quấy rối.</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380" w:hRule="atLeast"/>
        </w:trPr>
        <w:tc>
          <w:tcPr>
            <w:tcW w:type="dxa" w:w="9638"/>
            <w:gridSpan w:val="5"/>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color w:val="1F3864"/>
                <w:sz w:val="22"/>
                <w:szCs w:val="22"/>
              </w:rPr>
              <w:t xml:space="preserve">7.5 — Tự do hội họp và thương lượng tập thể</w:t>
            </w:r>
          </w:p>
        </w:tc>
      </w:tr>
      <w:tr>
        <w:trPr>
          <w:cantSplit/>
          <w:trHeight w:val="420" w:hRule="atLeast"/>
        </w:trPr>
        <w:tc>
          <w:tcPr>
            <w:tcW w:type="dxa" w:w="64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1</w:t>
            </w:r>
          </w:p>
        </w:tc>
        <w:tc>
          <w:tcPr>
            <w:tcW w:type="dxa" w:w="529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Người lao động được tự do thành lập, gia nhập công đoàn / tổ chức đại diện của mình.</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420" w:hRule="atLeast"/>
        </w:trPr>
        <w:tc>
          <w:tcPr>
            <w:tcW w:type="dxa" w:w="64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2</w:t>
            </w:r>
          </w:p>
        </w:tc>
        <w:tc>
          <w:tcPr>
            <w:tcW w:type="dxa" w:w="5298"/>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Không trù dập, phân biệt đối xử với người tham gia tổ chức đại diện; tôn trọng thương lượng tập thể.</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shd w:fill="F5F8FC"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r>
        <w:trPr>
          <w:cantSplit/>
          <w:trHeight w:val="380" w:hRule="atLeast"/>
        </w:trPr>
        <w:tc>
          <w:tcPr>
            <w:tcW w:type="dxa" w:w="9638"/>
            <w:gridSpan w:val="5"/>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color w:val="1F3864"/>
                <w:sz w:val="22"/>
                <w:szCs w:val="22"/>
              </w:rPr>
              <w:t xml:space="preserve">Nhà thầu, nhà cung cấp dịch vụ (khai thác, vận chuyển)</w:t>
            </w:r>
          </w:p>
        </w:tc>
      </w:tr>
      <w:tr>
        <w:trPr>
          <w:cantSplit/>
          <w:trHeight w:val="420" w:hRule="atLeast"/>
        </w:trPr>
        <w:tc>
          <w:tcPr>
            <w:tcW w:type="dxa" w:w="64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2"/>
                <w:szCs w:val="22"/>
              </w:rPr>
              <w:t xml:space="preserve">1</w:t>
            </w:r>
          </w:p>
        </w:tc>
        <w:tc>
          <w:tcPr>
            <w:tcW w:type="dxa" w:w="529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2"/>
                <w:szCs w:val="22"/>
              </w:rPr>
              <w:t xml:space="preserve">Đã truyền đạt yêu cầu lao động cốt lõi FSC tới nhà thầu, chủ rừng và nhà cung cấp dịch vụ.</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0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jc w:val="center"/>
            </w:pPr>
            <w:r>
              <w:rPr>
                <w:rFonts w:ascii="Times New Roman" w:cs="Times New Roman" w:eastAsia="Times New Roman" w:hAnsi="Times New Roman"/>
                <w:sz w:val="28"/>
                <w:szCs w:val="28"/>
              </w:rPr>
              <w:t xml:space="preserve">☐</w:t>
            </w:r>
          </w:p>
        </w:tc>
        <w:tc>
          <w:tcPr>
            <w:tcW w:type="dxa" w:w="17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3"/>
                <w:szCs w:val="23"/>
              </w:rPr>
              <w:t xml:space="preserve"/>
            </w:r>
          </w:p>
        </w:tc>
      </w:tr>
    </w:tbl>
    <w:p>
      <w:pPr>
        <w:keepNext/>
        <w:pBdr>
          <w:bottom w:val="single" w:color="1F3864" w:sz="6" w:space="2"/>
        </w:pBdr>
        <w:spacing w:after="80" w:before="160" w:line="264"/>
      </w:pPr>
      <w:r>
        <w:rPr>
          <w:rFonts w:ascii="Times New Roman" w:cs="Times New Roman" w:eastAsia="Times New Roman" w:hAnsi="Times New Roman"/>
          <w:b/>
          <w:bCs/>
          <w:color w:val="1F3864"/>
          <w:sz w:val="24"/>
          <w:szCs w:val="24"/>
        </w:rPr>
        <w:t xml:space="preserve">III. </w:t>
      </w:r>
      <w:r>
        <w:rPr>
          <w:rFonts w:ascii="Times New Roman" w:cs="Times New Roman" w:eastAsia="Times New Roman" w:hAnsi="Times New Roman"/>
          <w:b/>
          <w:bCs/>
          <w:color w:val="1F3864"/>
          <w:sz w:val="24"/>
          <w:szCs w:val="24"/>
        </w:rPr>
        <w:t xml:space="preserve">KẾT LUẬN &amp; HÀNH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520" w:hRule="atLeast"/>
        </w:trPr>
        <w:tc>
          <w:tcPr>
            <w:tcW w:type="dxa" w:w="2600"/>
            <w:tcBorders>
              <w:top w:val="single" w:color="7F7F7F" w:sz="4"/>
              <w:left w:val="single" w:color="7F7F7F" w:sz="4"/>
              <w:bottom w:val="single" w:color="7F7F7F" w:sz="4"/>
              <w:right w:val="single" w:color="7F7F7F" w:sz="4"/>
            </w:tcBorders>
            <w:shd w:fill="DEEAF6" w:color="auto" w:val="clear"/>
            <w:tcMar>
              <w:top w:type="dxa" w:w="50"/>
              <w:left w:type="dxa" w:w="100"/>
              <w:bottom w:type="dxa" w:w="50"/>
              <w:right w:type="dxa" w:w="100"/>
            </w:tcMar>
            <w:vAlign w:val="center"/>
          </w:tcPr>
          <w:p>
            <w:pPr>
              <w:spacing w:after="40" w:before="0" w:line="264"/>
            </w:pPr>
            <w:r>
              <w:rPr>
                <w:rFonts w:ascii="Times New Roman" w:cs="Times New Roman" w:eastAsia="Times New Roman" w:hAnsi="Times New Roman"/>
                <w:b/>
                <w:bCs/>
                <w:sz w:val="22"/>
                <w:szCs w:val="22"/>
              </w:rPr>
              <w:t xml:space="preserve">Kết luận</w:t>
            </w:r>
          </w:p>
        </w:tc>
        <w:tc>
          <w:tcPr>
            <w:tcW w:type="dxa" w:w="70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40" w:before="0" w:line="264"/>
            </w:pP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Tuân thủ</w:t>
            </w:r>
            <w:r>
              <w:rPr>
                <w:rFonts w:ascii="Times New Roman" w:cs="Times New Roman" w:eastAsia="Times New Roman" w:hAnsi="Times New Roman"/>
                <w:sz w:val="23"/>
                <w:szCs w:val="23"/>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2"/>
                <w:szCs w:val="22"/>
              </w:rPr>
              <w:t xml:space="preserve">Có điểm chưa tuân thủ — cần khắc phục</w:t>
            </w:r>
          </w:p>
        </w:tc>
      </w:tr>
    </w:tbl>
    <w:p>
      <w:pPr>
        <w:spacing w:after="80" w:before="0" w:line="264"/>
      </w:pPr>
      <w:r>
        <w:rPr>
          <w:rFonts w:ascii="Times New Roman" w:cs="Times New Roman" w:eastAsia="Times New Roman" w:hAnsi="Times New Roman"/>
          <w:sz w:val="23"/>
          <w:szCs w:val="23"/>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960" w:hRule="atLeast"/>
        </w:trPr>
        <w:tc>
          <w:tcPr>
            <w:tcW w:type="dxa" w:w="9638"/>
            <w:tcBorders>
              <w:top w:val="single" w:color="7F7F7F" w:sz="4"/>
              <w:left w:val="single" w:color="7F7F7F" w:sz="4"/>
              <w:bottom w:val="single" w:color="7F7F7F" w:sz="4"/>
              <w:right w:val="single" w:color="7F7F7F" w:sz="4"/>
            </w:tcBorders>
            <w:tcMar>
              <w:top w:type="dxa" w:w="50"/>
              <w:left w:type="dxa" w:w="100"/>
              <w:bottom w:type="dxa" w:w="50"/>
              <w:right w:type="dxa" w:w="100"/>
            </w:tcMar>
            <w:vAlign w:val="top"/>
          </w:tcPr>
          <w:p>
            <w:pPr>
              <w:spacing w:after="20" w:before="0" w:line="264"/>
            </w:pPr>
            <w:r>
              <w:rPr>
                <w:rFonts w:ascii="Times New Roman" w:cs="Times New Roman" w:eastAsia="Times New Roman" w:hAnsi="Times New Roman"/>
                <w:b/>
                <w:bCs/>
                <w:sz w:val="22"/>
                <w:szCs w:val="22"/>
              </w:rPr>
              <w:t xml:space="preserve">Điểm chưa tuân thủ, hành động khắc phục, người phụ trách, thời hạn</w:t>
            </w:r>
          </w:p>
        </w:tc>
      </w:tr>
    </w:tbl>
    <w:p>
      <w:pPr>
        <w:keepNext/>
        <w:spacing w:after="0" w:before="140" w:line="264"/>
      </w:pPr>
      <w:r>
        <w:rPr>
          <w:rFonts w:ascii="Times New Roman" w:cs="Times New Roman" w:eastAsia="Times New Roman" w:hAnsi="Times New Roman"/>
          <w:i/>
          <w:iCs/>
          <w:color w:val="7F7F7F"/>
          <w:sz w:val="18"/>
          <w:szCs w:val="18"/>
        </w:rPr>
        <w:t xml:space="preserve">Hướng dẫn ghi: đánh dấu ☒ vào ô lựa chọn; ghi “N/A” với nội dung không áp dụng; đính kèm bản chụp/scan bằng chứng và lưu theo hồ sơ của QT-FSC-01 — Hệ thống quản lý FSC.</w:t>
      </w:r>
    </w:p>
    <w:p>
      <w:pPr>
        <w:keepNext/>
        <w:spacing w:after="60" w:before="180" w:line="264"/>
        <w:jc w:val="right"/>
      </w:pPr>
      <w:r>
        <w:rPr>
          <w:rFonts w:ascii="Times New Roman" w:cs="Times New Roman" w:eastAsia="Times New Roman" w:hAnsi="Times New Roman"/>
          <w:i/>
          <w:iCs/>
          <w:sz w:val="22"/>
          <w:szCs w:val="22"/>
        </w:rPr>
        <w:t xml:space="preserve">……………, ngày …… tháng …… năm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NGƯỜI LẬP</w:t>
            </w:r>
          </w:p>
          <w:p>
            <w:pPr>
              <w:keepNext/>
              <w:spacing w:after="40" w:before="0" w:line="264"/>
              <w:jc w:val="center"/>
            </w:pPr>
            <w:r>
              <w:rPr>
                <w:rFonts w:ascii="Times New Roman" w:cs="Times New Roman" w:eastAsia="Times New Roman" w:hAnsi="Times New Roman"/>
                <w:sz w:val="21"/>
                <w:szCs w:val="21"/>
              </w:rPr>
              <w:t xml:space="preserve">(Hành chính – Nhân sự / QA-FSC)</w:t>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c>
          <w:tcPr>
            <w:tcW w:type="dxa" w:w="4819"/>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keepNext/>
              <w:spacing w:after="40" w:before="0" w:line="264"/>
              <w:jc w:val="center"/>
            </w:pPr>
            <w:r>
              <w:rPr>
                <w:rFonts w:ascii="Times New Roman" w:cs="Times New Roman" w:eastAsia="Times New Roman" w:hAnsi="Times New Roman"/>
                <w:b/>
                <w:bCs/>
                <w:sz w:val="22"/>
                <w:szCs w:val="22"/>
              </w:rPr>
              <w:t xml:space="preserve">PHÊ DUYỆT</w:t>
            </w:r>
          </w:p>
          <w:p>
            <w:pPr>
              <w:keepNext/>
              <w:spacing w:after="40" w:before="0" w:line="264"/>
              <w:jc w:val="center"/>
            </w:pPr>
            <w:r>
              <w:rPr>
                <w:rFonts w:ascii="Times New Roman" w:cs="Times New Roman" w:eastAsia="Times New Roman" w:hAnsi="Times New Roman"/>
                <w:sz w:val="21"/>
                <w:szCs w:val="21"/>
              </w:rPr>
              <w:t xml:space="preserve">(Giám đốc)</w:t>
            </w:r>
          </w:p>
          <w:p>
            <w:pPr>
              <w:keepNext/>
              <w:spacing w:after="40" w:before="0" w:line="264"/>
              <w:jc w:val="center"/>
            </w:pPr>
            <w:r>
              <w:rPr>
                <w:rFonts w:ascii="Times New Roman" w:cs="Times New Roman" w:eastAsia="Times New Roman" w:hAnsi="Times New Roman"/>
                <w:i/>
                <w:iCs/>
                <w:color w:val="595959"/>
                <w:sz w:val="20"/>
                <w:szCs w:val="20"/>
              </w:rPr>
              <w:t xml:space="preserve">(Ký, ghi rõ họ tên)</w:t>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keepNext/>
              <w:spacing w:after="0" w:before="0" w:line="264"/>
            </w:pPr>
            <w:r>
              <w:rPr>
                <w:rFonts w:ascii="Times New Roman" w:cs="Times New Roman" w:eastAsia="Times New Roman" w:hAnsi="Times New Roman"/>
                <w:sz w:val="23"/>
                <w:szCs w:val="23"/>
              </w:rPr>
              <w:t xml:space="preserve"/>
            </w:r>
          </w:p>
          <w:p>
            <w:pPr>
              <w:spacing w:after="40" w:before="0" w:line="264"/>
              <w:jc w:val="center"/>
            </w:pPr>
            <w:r>
              <w:rPr>
                <w:rFonts w:ascii="Times New Roman" w:cs="Times New Roman" w:eastAsia="Times New Roman" w:hAnsi="Times New Roman"/>
                <w:color w:val="7F7F7F"/>
                <w:sz w:val="23"/>
                <w:szCs w:val="23"/>
              </w:rPr>
              <w:t xml:space="preserve">……………………………………</w:t>
            </w:r>
          </w:p>
        </w:tc>
      </w:tr>
    </w:tbl>
    <w:sectPr>
      <w:headerReference w:type="default" r:id="rId7"/>
      <w:footerReference w:type="default" r:id="rId8"/>
      <w:pgSz w:w="11906" w:h="16838" w:orient="portrait"/>
      <w:pgMar w:top="2100" w:right="1134" w:bottom="1000"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F7F" w:sz="4" w:space="4"/>
      </w:pBdr>
      <w:spacing w:after="0" w:before="0" w:line="264"/>
    </w:pPr>
    <w:r>
      <w:rPr>
        <w:rFonts w:ascii="Times New Roman" w:cs="Times New Roman" w:eastAsia="Times New Roman" w:hAnsi="Times New Roman"/>
        <w:i/>
        <w:iCs/>
        <w:color w:val="7F7F7F"/>
        <w:sz w:val="16"/>
        <w:szCs w:val="16"/>
      </w:rPr>
      <w:t xml:space="preserve">HAK Group — Tài liệu kiểm soát nội bộ. Không tự ý sửa đổi, sao chép khi chưa được phê duyệt.</w:t>
    </w:r>
    <w:r>
      <w:rPr>
        <w:rFonts w:ascii="Times New Roman" w:cs="Times New Roman" w:eastAsia="Times New Roman" w:hAnsi="Times New Roman"/>
        <w:sz w:val="16"/>
        <w:szCs w:val="16"/>
      </w:rPr>
      <w:ptab w:alignment="right" w:relativeTo="margin" w:leader="none"/>
    </w:r>
    <w:r>
      <w:rPr>
        <w:rFonts w:ascii="Times New Roman" w:cs="Times New Roman" w:eastAsia="Times New Roman" w:hAnsi="Times New Roman"/>
        <w:b/>
        <w:bCs/>
        <w:color w:val="1F3864"/>
        <w:sz w:val="16"/>
        <w:szCs w:val="16"/>
      </w:rPr>
      <w:t xml:space="preserve">BM-FSC-12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38"/>
      <w:gridCol w:w="2400"/>
    </w:tblGrid>
    <w:tr>
      <w:trPr>
        <w:cantSplit/>
        <w:trHeight w:val="1050" w:hRule="atLeast"/>
      </w:trPr>
      <w:tc>
        <w:tcPr>
          <w:tcW w:type="dxa" w:w="29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jc w:val="center"/>
          </w:pPr>
          <w:r>
            <w:rPr>
              <w:rFonts w:ascii="Times New Roman" w:cs="Times New Roman" w:eastAsia="Times New Roman" w:hAnsi="Times New Roman"/>
              <w:b/>
              <w:bCs/>
              <w:color w:val="1F3864"/>
              <w:sz w:val="28"/>
              <w:szCs w:val="28"/>
            </w:rPr>
            <w:t xml:space="preserve">HAK GROUP</w:t>
          </w:r>
        </w:p>
        <w:p>
          <w:pPr>
            <w:spacing w:after="10" w:before="0" w:line="264"/>
            <w:jc w:val="center"/>
          </w:pPr>
          <w:r>
            <w:rPr>
              <w:rFonts w:ascii="Times New Roman" w:cs="Times New Roman" w:eastAsia="Times New Roman" w:hAnsi="Times New Roman"/>
              <w:b/>
              <w:bCs/>
              <w:sz w:val="16"/>
              <w:szCs w:val="16"/>
            </w:rPr>
            <w:t xml:space="preserve">CÔNG TY TNHH HOÀNG ANH KHÔI</w:t>
          </w:r>
        </w:p>
        <w:p>
          <w:pPr>
            <w:spacing w:after="0" w:before="0" w:line="264"/>
            <w:jc w:val="center"/>
          </w:pPr>
          <w:r>
            <w:rPr>
              <w:rFonts w:ascii="Times New Roman" w:cs="Times New Roman" w:eastAsia="Times New Roman" w:hAnsi="Times New Roman"/>
              <w:i/>
              <w:iCs/>
              <w:color w:val="595959"/>
              <w:sz w:val="17"/>
              <w:szCs w:val="17"/>
            </w:rPr>
            <w:t xml:space="preserve">Hệ thống kiểm soát FSC</w:t>
          </w:r>
        </w:p>
      </w:tc>
      <w:tc>
        <w:tcPr>
          <w:tcW w:type="dxa" w:w="4338"/>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30" w:before="0" w:line="264"/>
            <w:jc w:val="center"/>
          </w:pPr>
          <w:r>
            <w:rPr>
              <w:rFonts w:ascii="Times New Roman" w:cs="Times New Roman" w:eastAsia="Times New Roman" w:hAnsi="Times New Roman"/>
              <w:b/>
              <w:bCs/>
              <w:color w:val="1F3864"/>
              <w:sz w:val="25"/>
              <w:szCs w:val="25"/>
            </w:rPr>
            <w:t xml:space="preserve">PHIẾU TỰ ĐÁNH GIÁ YÊU CẦU LAO ĐỘNG CỐT LÕI FSC</w:t>
          </w:r>
        </w:p>
        <w:p>
          <w:pPr>
            <w:spacing w:after="0" w:before="0" w:line="264"/>
            <w:jc w:val="center"/>
          </w:pPr>
          <w:r>
            <w:rPr>
              <w:rFonts w:ascii="Times New Roman" w:cs="Times New Roman" w:eastAsia="Times New Roman" w:hAnsi="Times New Roman"/>
              <w:i/>
              <w:iCs/>
              <w:color w:val="404040"/>
              <w:sz w:val="18"/>
              <w:szCs w:val="18"/>
            </w:rPr>
            <w:t xml:space="preserve">Căn cứ: QT-FSC-01 — Hệ thống quản lý FSC</w:t>
          </w:r>
        </w:p>
      </w:tc>
      <w:tc>
        <w:tcPr>
          <w:tcW w:type="dxa" w:w="2400"/>
          <w:tcBorders>
            <w:top w:val="single" w:color="7F7F7F" w:sz="4"/>
            <w:left w:val="single" w:color="7F7F7F" w:sz="4"/>
            <w:bottom w:val="single" w:color="7F7F7F" w:sz="4"/>
            <w:right w:val="single" w:color="7F7F7F" w:sz="4"/>
          </w:tcBorders>
          <w:tcMar>
            <w:top w:type="dxa" w:w="50"/>
            <w:left w:type="dxa" w:w="100"/>
            <w:bottom w:type="dxa" w:w="50"/>
            <w:right w:type="dxa" w:w="100"/>
          </w:tcMar>
          <w:vAlign w:val="center"/>
        </w:tcPr>
        <w:p>
          <w:pPr>
            <w:spacing w:after="10" w:before="0" w:line="264"/>
          </w:pPr>
          <w:r>
            <w:rPr>
              <w:rFonts w:ascii="Times New Roman" w:cs="Times New Roman" w:eastAsia="Times New Roman" w:hAnsi="Times New Roman"/>
              <w:color w:val="404040"/>
              <w:sz w:val="18"/>
              <w:szCs w:val="18"/>
            </w:rPr>
            <w:t xml:space="preserve">Mã số: </w:t>
          </w:r>
          <w:r>
            <w:rPr>
              <w:rFonts w:ascii="Times New Roman" w:cs="Times New Roman" w:eastAsia="Times New Roman" w:hAnsi="Times New Roman"/>
              <w:b/>
              <w:bCs/>
              <w:sz w:val="18"/>
              <w:szCs w:val="18"/>
            </w:rPr>
            <w:t xml:space="preserve">BM-FSC-12</w:t>
          </w:r>
        </w:p>
        <w:p>
          <w:pPr>
            <w:spacing w:after="10" w:before="0" w:line="264"/>
          </w:pPr>
          <w:r>
            <w:rPr>
              <w:rFonts w:ascii="Times New Roman" w:cs="Times New Roman" w:eastAsia="Times New Roman" w:hAnsi="Times New Roman"/>
              <w:color w:val="404040"/>
              <w:sz w:val="18"/>
              <w:szCs w:val="18"/>
            </w:rPr>
            <w:t xml:space="preserve">Phiên bản: </w:t>
          </w:r>
          <w:r>
            <w:rPr>
              <w:rFonts w:ascii="Times New Roman" w:cs="Times New Roman" w:eastAsia="Times New Roman" w:hAnsi="Times New Roman"/>
              <w:b/>
              <w:bCs/>
              <w:sz w:val="18"/>
              <w:szCs w:val="18"/>
            </w:rPr>
            <w:t xml:space="preserve">1.0</w:t>
          </w:r>
        </w:p>
        <w:p>
          <w:pPr>
            <w:spacing w:after="10" w:before="0" w:line="264"/>
          </w:pPr>
          <w:r>
            <w:rPr>
              <w:rFonts w:ascii="Times New Roman" w:cs="Times New Roman" w:eastAsia="Times New Roman" w:hAnsi="Times New Roman"/>
              <w:color w:val="404040"/>
              <w:sz w:val="18"/>
              <w:szCs w:val="18"/>
            </w:rPr>
            <w:t xml:space="preserve">Ngày ban hành: </w:t>
          </w:r>
          <w:r>
            <w:rPr>
              <w:rFonts w:ascii="Times New Roman" w:cs="Times New Roman" w:eastAsia="Times New Roman" w:hAnsi="Times New Roman"/>
              <w:b/>
              <w:bCs/>
              <w:sz w:val="18"/>
              <w:szCs w:val="18"/>
            </w:rPr>
            <w:t xml:space="preserve">26/07/2026</w:t>
          </w:r>
        </w:p>
        <w:p>
          <w:pPr>
            <w:spacing w:after="0" w:before="0" w:line="264"/>
          </w:pPr>
          <w:r>
            <w:rPr>
              <w:rFonts w:ascii="Times New Roman" w:cs="Times New Roman" w:eastAsia="Times New Roman" w:hAnsi="Times New Roman"/>
              <w:color w:val="404040"/>
              <w:sz w:val="18"/>
              <w:szCs w:val="18"/>
            </w:rPr>
            <w:t xml:space="preserve">Trang: </w:t>
          </w:r>
          <w:r>
            <w:rPr>
              <w:rFonts w:ascii="Times New Roman" w:cs="Times New Roman" w:eastAsia="Times New Roman" w:hAnsi="Times New Roman"/>
              <w:b/>
              <w:bCs/>
              <w:sz w:val="18"/>
              <w:szCs w:val="18"/>
            </w:rPr>
            <w:fldChar w:fldCharType="begin"/>
            <w:instrText xml:space="preserve">PAGE</w:instrText>
            <w:fldChar w:fldCharType="separate"/>
            <w:fldChar w:fldCharType="end"/>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fldChar w:fldCharType="begin"/>
            <w:instrText xml:space="preserve">NUMPAGES</w:instrText>
            <w:fldChar w:fldCharType="separate"/>
            <w:fldChar w:fldCharType="end"/>
          </w:r>
        </w:p>
      </w:tc>
    </w:tr>
  </w:tbl>
  <w:p>
    <w:pPr>
      <w:spacing w:after="0" w:before="0" w:line="264"/>
    </w:pPr>
    <w:r>
      <w:rPr>
        <w:rFonts w:ascii="Times New Roman" w:cs="Times New Roman" w:eastAsia="Times New Roman" w:hAnsi="Times New Roman"/>
        <w:sz w:val="23"/>
        <w:szCs w:val="23"/>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BM-FSC-12 — PHIẾU TỰ ĐÁNH GIÁ YÊU CẦU LAO ĐỘNG CỐT LÕI FSC</dc:title>
  <dc:creator>HAK Group</dc:creator>
  <dc:description>Căn cứ: QT-FSC-01 — Hệ thống quản lý FSC</dc:description>
  <cp:lastModifiedBy>Un-named</cp:lastModifiedBy>
  <cp:revision>1</cp:revision>
  <dcterms:created xsi:type="dcterms:W3CDTF">2026-10-14T21:04:06.146Z</dcterms:created>
  <dcterms:modified xsi:type="dcterms:W3CDTF">2026-10-14T21:04:06.146Z</dcterms:modified>
</cp:coreProperties>
</file>

<file path=docProps/custom.xml><?xml version="1.0" encoding="utf-8"?>
<Properties xmlns="http://schemas.openxmlformats.org/officeDocument/2006/custom-properties" xmlns:vt="http://schemas.openxmlformats.org/officeDocument/2006/docPropsVTypes"/>
</file>