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HỢP ĐỒNG MUA BÁN NGOẠI TỆ GIAO NGAY</w:t>
      </w:r>
    </w:p>
    <w:p>
      <w:r>
        <w:rPr>
          <w:b w:val="0"/>
          <w:i/>
        </w:rPr>
        <w:t>Căn cứ Hợp đồng khung số {{HOP_DONG.HD_KHUNG_MBNT_SO}} ngày {{HOP_DONG.HD_KHUNG_MBNT_NGAY}} giữa {{HOP_DONG.NGAN_HANG}} – {{HOP_DONG.CHI_NHANH}} và {{CONG_TY.TEN}}.</w:t>
      </w:r>
    </w:p>
    <w:p>
      <w:r>
        <w:rPr>
          <w:b w:val="0"/>
          <w:i w:val="0"/>
        </w:rPr>
        <w:t xml:space="preserve">Số tiền giao dịch: </w:t>
      </w:r>
      <w:r>
        <w:rPr>
          <w:b/>
          <w:i w:val="0"/>
        </w:rPr>
        <w:t>{{HO_SO.SO_TIEN}} USD</w:t>
      </w:r>
      <w:r>
        <w:rPr>
          <w:b w:val="0"/>
          <w:i w:val="0"/>
        </w:rPr>
        <w:t xml:space="preserve"> (Bằng chữ: {{HO_SO.SO_TIEN_BANG_CHU}})</w:t>
      </w:r>
    </w:p>
    <w:p>
      <w:r>
        <w:rPr>
          <w:b w:val="0"/>
          <w:i w:val="0"/>
        </w:rPr>
        <w:t>Tỷ giá: {{HO_SO.TY_GIA}} VND/USD. Số tiền thanh toán: {{HO_SO.SO_TIEN_QUY_DOI}} đồng</w:t>
      </w:r>
    </w:p>
    <w:p>
      <w:r>
        <w:rPr>
          <w:b w:val="0"/>
          <w:i/>
        </w:rPr>
        <w:t>Bằng chữ: {{HO_SO.SO_TIEN_QUY_DOI_BANG_CHU}}</w:t>
      </w:r>
    </w:p>
    <w:p>
      <w:r>
        <w:rPr>
          <w:b w:val="0"/>
          <w:i w:val="0"/>
        </w:rPr>
        <w:t>Ngày giao dịch: {{HO_SO.NGAY_GIAI_NGAN}}. Tài khoản USD: {{CONG_TY.TK_USD}}. Tài khoản VND: {{CONG_TY.TK_VND}}.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sz w:val="16"/>
      </w:rPr>
      <w:t>HDMB - {{HO_SO.MA}}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