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 xml:space="preserve">Grupo de Uso: Basado en el uso de la edificación, se establece el Grupo de Uso correspondiente según el </w:t>
      </w:r>
      <w:proofErr w:type="spellStart"/>
      <w:r w:rsidRPr="000629AF">
        <w:t>item</w:t>
      </w:r>
      <w:proofErr w:type="spellEnd"/>
      <w:r w:rsidRPr="000629AF">
        <w:t xml:space="preserve"> 4.2.5.1 – Grupos de Uso de la NSR-10. Para el caso de estudio, se tiene que edificaciones de hospitales, clínicas y centros de salud se clasifican en el Grupo II – Estructuras de ocupación especial (NSR-10, A.2.5.1.3), al cual le corresponde un Coeficiente de Importancia (I) de 1.1</w:t>
      </w:r>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Ocupación normal: incluye edificaciones con baja repercusión en caso de falla estructural, como construcciones de uso limitado o sin ocupación permanente.</w:t>
      </w:r>
    </w:p>
    <w:p w14:paraId="25E44A84" w14:textId="77777777" w:rsidR="0079179A" w:rsidRPr="003C25BD" w:rsidRDefault="0079179A" w:rsidP="003C25BD"/>
    <w:p w14:paraId="420B5DF4" w14:textId="77777777" w:rsidR="0079179A" w:rsidRPr="003C25BD" w:rsidRDefault="0079179A" w:rsidP="003C25BD">
      <w:r w:rsidRPr="003C25BD">
        <w:t>Grupo II – Ocupación común: corresponde a edificaciones de uso habitual, tales como viviendas, edificios residenciales, oficinas y comercios.</w:t>
      </w:r>
    </w:p>
    <w:p w14:paraId="492035BA" w14:textId="77777777" w:rsidR="0079179A" w:rsidRPr="003C25BD" w:rsidRDefault="0079179A" w:rsidP="003C25BD"/>
    <w:p w14:paraId="73BA0379" w14:textId="77777777" w:rsidR="0079179A" w:rsidRPr="003C25BD" w:rsidRDefault="0079179A" w:rsidP="003C25BD">
      <w:r w:rsidRPr="003C25BD">
        <w:lastRenderedPageBreak/>
        <w:t>Grupo III – Atención a la comunidad: abarca edificaciones destinadas a servicios comunitarios o con alta concentración de personas, que requieren mayores niveles de seguridad.</w:t>
      </w:r>
    </w:p>
    <w:p w14:paraId="4224302B" w14:textId="77777777" w:rsidR="0079179A" w:rsidRPr="003C25BD" w:rsidRDefault="0079179A" w:rsidP="003C25BD"/>
    <w:p w14:paraId="0158BB2A" w14:textId="77777777" w:rsidR="0079179A" w:rsidRPr="003C25BD" w:rsidRDefault="0079179A" w:rsidP="003C25BD">
      <w:r w:rsidRPr="003C25BD">
        <w:t>Grupo IV – Edificaciones esenciales: incluye aquellas cuya operación es indispensable durante y después de un evento sísmico, como hospitales o estaciones de emergencia.</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 (ocupación normal),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A cada grupo de uso le corresponde un coeficiente de importancia (I), el cual modifica las exigencias del diseño sísmico al influir directamente en el espectro de diseño y en la magnitud de las fuerzas sísmicas consideradas. Para edificaciones clasificadas en el Grupo II, este coeficiente tiene un valor de:</w:t>
      </w:r>
    </w:p>
    <w:p w14:paraId="7EBA5EDE" w14:textId="7A61F9D0" w:rsidR="0079179A" w:rsidRDefault="0079179A" w:rsidP="00AF0845">
      <w:pPr>
        <w:pStyle w:val="Prrafodelista"/>
        <w:numPr>
          <w:ilvl w:val="0"/>
          <w:numId w:val="11"/>
        </w:numPr>
        <w:spacing w:before="118"/>
        <w:ind w:right="831"/>
      </w:pPr>
      <w:r w:rsidRPr="003C25BD">
        <w:t>I = 1.0</w:t>
      </w:r>
      <w:r w:rsidR="001144AA"/>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Dado que el período fundamental de la estructura, del orden de 0.41 a 0.55 segundos según el análisis modal, es inferior al período Tc igual a 0.66 segundos, la respuesta se ubica dentro de la zona de aceleración constante del espectro, por lo que la aceleración espectral corresponde al valor de la meseta: Sa = 2.5·Aa·Fa·I = 2.5 × 0.15 × 1.2 × 1.0 = 0.45.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0.45 × 41 074 = 18 483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t>1 210.6</w:t>
            </w:r>
            <w:r>
              <w:rPr>
                <w:rFonts w:ascii="Times New Roman" w:hAnsi="Times New Roman"/>
                <w:b w:val="0"/>
                <w:i w:val="0"/>
                <w:sz w:val="18"/>
                <w:rFonts w:ascii="Times New Roman" w:hAnsi="Times New Roman"/>
              </w:rPr>
            </w:r>
          </w:p>
        </w:tc>
        <w:tc>
          <w:tcPr>
            <w:tcW w:type="dxa" w:w="1263"/>
          </w:tcPr>
          <w:p>
            <w:pPr>
              <w:jc w:val="center"/>
            </w:pPr>
            <w:r>
              <w:t>968.5</w:t>
            </w:r>
            <w:r>
              <w:rPr>
                <w:rFonts w:ascii="Times New Roman" w:hAnsi="Times New Roman"/>
                <w:b w:val="0"/>
                <w:i w:val="0"/>
                <w:sz w:val="18"/>
                <w:rFonts w:ascii="Times New Roman" w:hAnsi="Times New Roman"/>
              </w:rPr>
            </w:r>
          </w:p>
        </w:tc>
        <w:tc>
          <w:tcPr>
            <w:tcW w:type="dxa" w:w="1263"/>
          </w:tcPr>
          <w:p>
            <w:pPr>
              <w:jc w:val="center"/>
            </w:pPr>
            <w:r>
              <w:t>2 216.8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t>3 027.5</w:t>
            </w:r>
            <w:r>
              <w:rPr>
                <w:rFonts w:ascii="Times New Roman" w:hAnsi="Times New Roman"/>
                <w:b w:val="0"/>
                <w:i w:val="0"/>
                <w:sz w:val="18"/>
                <w:rFonts w:ascii="Times New Roman" w:hAnsi="Times New Roman"/>
              </w:rPr>
            </w:r>
          </w:p>
        </w:tc>
        <w:tc>
          <w:tcPr>
            <w:tcW w:type="dxa" w:w="1263"/>
          </w:tcPr>
          <w:p>
            <w:pPr>
              <w:jc w:val="center"/>
            </w:pPr>
            <w:r>
              <w:t>2 420.2</w:t>
            </w:r>
            <w:r>
              <w:rPr>
                <w:rFonts w:ascii="Times New Roman" w:hAnsi="Times New Roman"/>
                <w:b w:val="0"/>
                <w:i w:val="0"/>
                <w:sz w:val="18"/>
                <w:rFonts w:ascii="Times New Roman" w:hAnsi="Times New Roman"/>
              </w:rPr>
            </w:r>
          </w:p>
        </w:tc>
        <w:tc>
          <w:tcPr>
            <w:tcW w:type="dxa" w:w="1263"/>
          </w:tcPr>
          <w:p>
            <w:pPr>
              <w:jc w:val="center"/>
            </w:pPr>
            <w:r>
              <w:t>5 539.8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t>4 469.2</w:t>
            </w:r>
            <w:r>
              <w:rPr>
                <w:rFonts w:ascii="Times New Roman" w:hAnsi="Times New Roman"/>
                <w:b w:val="0"/>
                <w:i w:val="0"/>
                <w:sz w:val="18"/>
                <w:rFonts w:ascii="Times New Roman" w:hAnsi="Times New Roman"/>
              </w:rPr>
            </w:r>
          </w:p>
        </w:tc>
        <w:tc>
          <w:tcPr>
            <w:tcW w:type="dxa" w:w="1263"/>
          </w:tcPr>
          <w:p>
            <w:pPr>
              <w:jc w:val="center"/>
            </w:pPr>
            <w:r>
              <w:t>3 573.6</w:t>
            </w:r>
            <w:r>
              <w:rPr>
                <w:rFonts w:ascii="Times New Roman" w:hAnsi="Times New Roman"/>
                <w:b w:val="0"/>
                <w:i w:val="0"/>
                <w:sz w:val="18"/>
                <w:rFonts w:ascii="Times New Roman" w:hAnsi="Times New Roman"/>
              </w:rPr>
            </w:r>
          </w:p>
        </w:tc>
        <w:tc>
          <w:tcPr>
            <w:tcW w:type="dxa" w:w="1263"/>
          </w:tcPr>
          <w:p>
            <w:pPr>
              <w:jc w:val="center"/>
            </w:pPr>
            <w:r>
              <w:t>8 179.6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t>5 925.6</w:t>
            </w:r>
            <w:r>
              <w:rPr>
                <w:rFonts w:ascii="Times New Roman" w:hAnsi="Times New Roman"/>
                <w:b w:val="0"/>
                <w:i w:val="0"/>
                <w:sz w:val="18"/>
                <w:rFonts w:ascii="Times New Roman" w:hAnsi="Times New Roman"/>
              </w:rPr>
            </w:r>
          </w:p>
        </w:tc>
        <w:tc>
          <w:tcPr>
            <w:tcW w:type="dxa" w:w="1263"/>
          </w:tcPr>
          <w:p>
            <w:pPr>
              <w:jc w:val="center"/>
            </w:pPr>
            <w:r>
              <w:t>4 737.0</w:t>
            </w:r>
            <w:r>
              <w:rPr>
                <w:rFonts w:ascii="Times New Roman" w:hAnsi="Times New Roman"/>
                <w:b w:val="0"/>
                <w:i w:val="0"/>
                <w:sz w:val="18"/>
                <w:rFonts w:ascii="Times New Roman" w:hAnsi="Times New Roman"/>
              </w:rPr>
            </w:r>
          </w:p>
        </w:tc>
        <w:tc>
          <w:tcPr>
            <w:tcW w:type="dxa" w:w="1263"/>
          </w:tcPr>
          <w:p>
            <w:pPr>
              <w:jc w:val="center"/>
            </w:pPr>
            <w:r>
              <w:t>10 842.6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t>3 850.0</w:t>
            </w:r>
            <w:r>
              <w:rPr>
                <w:rFonts w:ascii="Times New Roman" w:hAnsi="Times New Roman"/>
                <w:b w:val="0"/>
                <w:i w:val="0"/>
                <w:sz w:val="18"/>
                <w:rFonts w:ascii="Times New Roman" w:hAnsi="Times New Roman"/>
              </w:rPr>
            </w:r>
          </w:p>
        </w:tc>
        <w:tc>
          <w:tcPr>
            <w:tcW w:type="dxa" w:w="1263"/>
          </w:tcPr>
          <w:p>
            <w:pPr>
              <w:jc w:val="center"/>
            </w:pPr>
            <w:r>
              <w:t>3 077.9</w:t>
            </w:r>
            <w:r>
              <w:rPr>
                <w:rFonts w:ascii="Times New Roman" w:hAnsi="Times New Roman"/>
                <w:b w:val="0"/>
                <w:i w:val="0"/>
                <w:sz w:val="18"/>
                <w:rFonts w:ascii="Times New Roman" w:hAnsi="Times New Roman"/>
              </w:rPr>
            </w:r>
          </w:p>
        </w:tc>
        <w:tc>
          <w:tcPr>
            <w:tcW w:type="dxa" w:w="1263"/>
          </w:tcPr>
          <w:p>
            <w:pPr>
              <w:jc w:val="center"/>
            </w:pPr>
            <w:r>
              <w:t>7 045.0</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t>18 483.0</w:t>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rPr>
          <w:rFonts w:ascii="Times New Roman" w:hAnsi="Times New Roman"/>
          <w:b w:val="0"/>
          <w:i w:val="0"/>
          <w:sz w:val="32"/>
          <w:rFonts w:ascii="Times New Roman" w:hAnsi="Times New Roman"/>
        </w:rPr>
        <w:t>DISEÑO DE VIGUETAS, VIGAS Y RIOSTRAS</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sz w:val="24"/>
          <w:szCs w:val="24"/>
        </w:rPr>
        <w:t xml:space="preserve">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se obtiene mayorando las cargas y multiplicándolas por la separación entre viguetas. Los momentos se determinan con los coeficientes aproximados de la sección C.8.3.3 del Reglamento, aplicando a cada vano el coeficiente que corresponde a su condición de apoyo: en los vanos extremos, identificados como 1EC, el momento positivo se calcula con wu·ln²/14 y el momento negativo en la cara del primer apoyo interior con wu·ln²/10; en los vanos interiores, 2EC, el momento positivo con wu·ln²/16 y los negativos en los apoyos con wu·ln²/11; en el apoyo exterior monolítico con la viga de borde se emplea wu·ln²/24; y en los voladizos, tipo V, el momento negativo es wu·L²/2. El cortante se evalúa como wu·ln/2, incrementado a 1.15·wu·ln/2 en la cara del primer apoyo interior.</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jc w:val="both"/>
      </w:pPr>
      <w:r>
        <w:rPr>
          <w:rFonts w:ascii="Times New Roman" w:hAnsi="Times New Roman"/>
          <w:b w:val="0"/>
          <w:i w:val="0"/>
          <w:sz w:val="28"/>
          <w:rFonts w:ascii="Times New Roman" w:hAnsi="Times New Roman"/>
        </w:rPr>
        <w:t>Diseño de las vigas de carga</w:t>
      </w:r>
    </w:p>
    <w:p>
      <w:pPr>
        <w:jc w:val="both"/>
      </w:pPr>
      <w:r>
        <w:rPr>
          <w:rFonts w:ascii="Times New Roman" w:hAnsi="Times New Roman"/>
          <w:sz w:val="24"/>
          <w:szCs w:val="24"/>
        </w:rPr>
        <w:t xml:space="preserve">Las vigas de carga, de 0.30 metros de ancho por 0.40 metros de altura, reciben las cargas transmitidas por las viguetas y forman parte del sistema de resistencia sísmica. Sus solicitaciones se obtuvieron de la envolvente de las combinaciones de carga del modelo, reduciendo la componente sísmica mediante el coeficiente de disipación de energía igual a 5.0. Atendiendo el criterio de agrupar únicamente los elementos que comparten la misma longitud y la misma condición de apoyo, las vigas de carga se clasificaron en doce tipos, distinguiendo en cada longitud los vanos extremos de los vanos interiores, y cada tipo se diseñó con la mayor solicitación de su grupo.</w:t>
      </w:r>
    </w:p>
    <w:p>
      <w:pPr>
        <w:jc w:val="both"/>
      </w:pPr>
      <w:r>
        <w:rPr>
          <w:rFonts w:ascii="Times New Roman" w:hAnsi="Times New Roman"/>
          <w:sz w:val="24"/>
          <w:szCs w:val="24"/>
        </w:rPr>
        <w:t xml:space="preserve">A manera de ilustración se presenta el diseño del tipo VC-9, conformado por las vigas de 3.90 metros de luz en vano interior, que registran el mayor momento negativo, igual a 129 kilonewton metro. Considerando un recubrimiento de 0.04 metros, un estribo número 3 y barras longitudinales número 5, la altura efectiva de la sección es de 342.6 milímetros. El factor de resistencia requerido es Rn = 129 × 10⁶ dividido entre el producto de 0.90, 300 y el cuadrado de 342.6, igual a 4.07 megapascales. La cuantía correspondiente es de 0.0107 y el área de acero requerida de 1 100 milímetros cuadrados, comprendida entre el mínimo de 343 y el máximo permitido, lo que garantiza un comportamiento dúctil. Se disponen seis barras número 5, equivalentes a 1 194 milímetros cuadrados; la profundidad del bloque de compresión es de 70.2 milímetros y el momento resistente reducido alcanza 138.8 kilonewton metro, superior al solicitante. El momento positivo de 91 kilonewton metro se atiende con cuatro barras número 5.</w:t>
      </w:r>
    </w:p>
    <w:p>
      <w:pPr>
        <w:jc w:val="both"/>
      </w:pPr>
      <w:r>
        <w:rPr>
          <w:rFonts w:ascii="Times New Roman" w:hAnsi="Times New Roman"/>
          <w:sz w:val="24"/>
          <w:szCs w:val="24"/>
        </w:rPr>
        <w:t xml:space="preserve">El diseño a cortante se realiza determinando la resistencia aportada por el concreto y la resistencia requerida del refuerzo transversal. En las vigas de carga se disponen estribos número 3 de dos ramas, separados cada 86 milímetros en la zona de confinamiento, igual a dos veces la altura desde la cara de cada apoyo, y cada 150 milímetros en la zona central. Adicionalmente, en cumplimiento de los requisitos para capacidad moderada de disipación de energía, se verifica el cortante por capacidad, calculado a partir de los momentos probables en los extremos del elemento, garantizando que el cortante de diseño no sea inferior al asociado a la formación de las rótulas plásticas. En los tipos cuya torsión solicitante supera el umbral correspondiente se dispone refuerzo adicional por torsión, conformado por estribos cerrados y barras longitudinales distribuidas en el perímetro. El resumen del armado de las vigas de carga se presenta en la Tabla 61.</w:t>
      </w:r>
    </w:p>
    <w:p>
      <w:pPr>
        <w:jc w:val="both"/>
      </w:pPr>
      <w:r>
        <w:rPr>
          <w:rFonts w:ascii="Times New Roman" w:hAnsi="Times New Roman"/>
          <w:sz w:val="24"/>
          <w:szCs w:val="24"/>
        </w:rPr>
        <w:t xml:space="preserve">Aplicando el mismo procedimiento a los demás tipos se evidencia el beneficio de separar por condición de apoyo: en una misma longitud, los vanos interiores resultan mucho menos exigidos que los extremos. Por ejemplo, en las vigas de 3.75 metros los vanos extremos requieren cinco barras número 5, mientras que los interiores, con momentos del orden de 25 kilonewton metro, quedan gobernados por la cuantía mínima con dos barras número 5. El refuerzo varía así entre dos y seis barras número 5 según el tipo; en todos los casos el momento resistente reducido supera al solicitante y el cortante se atiende con estribos número 3 de dos ramas, con la separación de confinamiento en una longitud igual a dos veces la altura desde cada apoyo.</w:t>
      </w:r>
    </w:p>
    <w:p>
      <w:pPr>
        <w:pStyle w:val="Descripcin"/>
      </w:pPr>
      <w:r>
        <w:rPr>
          <w:rFonts w:ascii="Times New Roman" w:hAnsi="Times New Roman"/>
          <w:b w:val="0"/>
          <w:i w:val="0"/>
          <w:sz w:val="20"/>
          <w:rFonts w:ascii="Times New Roman" w:hAnsi="Times New Roman"/>
        </w:rPr>
        <w:t>Tabla 61. Resumen del diseño de las vigas de carga (0.30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Pr>
                <w:rFonts w:ascii="Times New Roman" w:hAnsi="Times New Roman"/>
                <w:b w:val="0"/>
                <w:i w:val="0"/>
                <w:sz w:val="18"/>
                <w:szCs w:val="18"/>
              </w:rPr>
              <w:t xml:space="preserve">VC-1 (2.50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10</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VC-2 (2.60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7</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VC-3 (2.65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119</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VC-4 (3.75 m · Extremo)</w:t>
            </w:r>
          </w:p>
        </w:tc>
        <w:tc>
          <w:tcPr>
            <w:tcW w:type="dxa" w:w="1473"/>
          </w:tcPr>
          <w:p>
            <w:pPr>
              <w:jc w:val="center"/>
            </w:pPr>
            <w:r>
              <w:rPr>
                <w:rFonts w:ascii="Times New Roman" w:hAnsi="Times New Roman"/>
                <w:b w:val="0"/>
                <w:i w:val="0"/>
                <w:sz w:val="18"/>
                <w:szCs w:val="18"/>
              </w:rPr>
              <w:t xml:space="preserve">28</w:t>
            </w:r>
          </w:p>
        </w:tc>
        <w:tc>
          <w:tcPr>
            <w:tcW w:type="dxa" w:w="1473"/>
          </w:tcPr>
          <w:p>
            <w:pPr>
              <w:jc w:val="center"/>
            </w:pPr>
            <w:r>
              <w:rPr>
                <w:rFonts w:ascii="Times New Roman" w:hAnsi="Times New Roman"/>
                <w:b w:val="0"/>
                <w:i w:val="0"/>
                <w:sz w:val="18"/>
                <w:szCs w:val="18"/>
              </w:rPr>
              <w:t xml:space="preserve">106</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VC-5 (3.75 m · Interior)</w:t>
            </w:r>
          </w:p>
        </w:tc>
        <w:tc>
          <w:tcPr>
            <w:tcW w:type="dxa" w:w="1473"/>
          </w:tcPr>
          <w:p>
            <w:pPr>
              <w:jc w:val="center"/>
            </w:pPr>
            <w:r>
              <w:rPr>
                <w:rFonts w:ascii="Times New Roman" w:hAnsi="Times New Roman"/>
                <w:b w:val="0"/>
                <w:i w:val="0"/>
                <w:sz w:val="18"/>
                <w:szCs w:val="18"/>
              </w:rPr>
              <w:t xml:space="preserve">12</w:t>
            </w:r>
          </w:p>
        </w:tc>
        <w:tc>
          <w:tcPr>
            <w:tcW w:type="dxa" w:w="1473"/>
          </w:tcPr>
          <w:p>
            <w:pPr>
              <w:jc w:val="center"/>
            </w:pPr>
            <w:r>
              <w:rPr>
                <w:rFonts w:ascii="Times New Roman" w:hAnsi="Times New Roman"/>
                <w:b w:val="0"/>
                <w:i w:val="0"/>
                <w:sz w:val="18"/>
                <w:szCs w:val="18"/>
              </w:rPr>
              <w:t xml:space="preserve">25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VC-6 (3.81 m · Extremo)</w:t>
            </w:r>
          </w:p>
        </w:tc>
        <w:tc>
          <w:tcPr>
            <w:tcW w:type="dxa" w:w="1473"/>
          </w:tcPr>
          <w:p>
            <w:pPr>
              <w:jc w:val="center"/>
            </w:pPr>
            <w:r>
              <w:rPr>
                <w:rFonts w:ascii="Times New Roman" w:hAnsi="Times New Roman"/>
                <w:b w:val="0"/>
                <w:i w:val="0"/>
                <w:sz w:val="18"/>
                <w:szCs w:val="18"/>
              </w:rPr>
              <w:t xml:space="preserve">16</w:t>
            </w:r>
          </w:p>
        </w:tc>
        <w:tc>
          <w:tcPr>
            <w:tcW w:type="dxa" w:w="1473"/>
          </w:tcPr>
          <w:p>
            <w:pPr>
              <w:jc w:val="center"/>
            </w:pPr>
            <w:r>
              <w:rPr>
                <w:rFonts w:ascii="Times New Roman" w:hAnsi="Times New Roman"/>
                <w:b w:val="0"/>
                <w:i w:val="0"/>
                <w:sz w:val="18"/>
                <w:szCs w:val="18"/>
              </w:rPr>
              <w:t xml:space="preserve">114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VC-7 (3.81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106</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VC-8 (3.85 m · Interior)</w:t>
            </w:r>
          </w:p>
        </w:tc>
        <w:tc>
          <w:tcPr>
            <w:tcW w:type="dxa" w:w="1473"/>
          </w:tcPr>
          <w:p>
            <w:pPr>
              <w:jc w:val="center"/>
            </w:pPr>
            <w:r>
              <w:rPr>
                <w:rFonts w:ascii="Times New Roman" w:hAnsi="Times New Roman"/>
                <w:b w:val="0"/>
                <w:i w:val="0"/>
                <w:sz w:val="18"/>
                <w:szCs w:val="18"/>
              </w:rPr>
              <w:t xml:space="preserve">60</w:t>
            </w:r>
          </w:p>
        </w:tc>
        <w:tc>
          <w:tcPr>
            <w:tcW w:type="dxa" w:w="1473"/>
          </w:tcPr>
          <w:p>
            <w:pPr>
              <w:jc w:val="center"/>
            </w:pPr>
            <w:r>
              <w:rPr>
                <w:rFonts w:ascii="Times New Roman" w:hAnsi="Times New Roman"/>
                <w:b w:val="0"/>
                <w:i w:val="0"/>
                <w:sz w:val="18"/>
                <w:szCs w:val="18"/>
              </w:rPr>
              <w:t xml:space="preserve">122</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VC-9 (3.90 m · Interior)</w:t>
            </w:r>
          </w:p>
        </w:tc>
        <w:tc>
          <w:tcPr>
            <w:tcW w:type="dxa" w:w="1473"/>
          </w:tcPr>
          <w:p>
            <w:pPr>
              <w:jc w:val="center"/>
            </w:pPr>
            <w:r>
              <w:rPr>
                <w:rFonts w:ascii="Times New Roman" w:hAnsi="Times New Roman"/>
                <w:b w:val="0"/>
                <w:i w:val="0"/>
                <w:sz w:val="18"/>
                <w:szCs w:val="18"/>
              </w:rPr>
              <w:t xml:space="preserve">40</w:t>
            </w:r>
          </w:p>
        </w:tc>
        <w:tc>
          <w:tcPr>
            <w:tcW w:type="dxa" w:w="1473"/>
          </w:tcPr>
          <w:p>
            <w:pPr>
              <w:jc w:val="center"/>
            </w:pPr>
            <w:r>
              <w:rPr>
                <w:rFonts w:ascii="Times New Roman" w:hAnsi="Times New Roman"/>
                <w:b w:val="0"/>
                <w:i w:val="0"/>
                <w:sz w:val="18"/>
                <w:szCs w:val="18"/>
              </w:rPr>
              <w:t xml:space="preserve">129</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VC-10 (4.00 m · Interior)</w:t>
            </w:r>
          </w:p>
        </w:tc>
        <w:tc>
          <w:tcPr>
            <w:tcW w:type="dxa" w:w="1473"/>
          </w:tcPr>
          <w:p>
            <w:pPr>
              <w:jc w:val="center"/>
            </w:pPr>
            <w:r>
              <w:rPr>
                <w:rFonts w:ascii="Times New Roman" w:hAnsi="Times New Roman"/>
                <w:b w:val="0"/>
                <w:i w:val="0"/>
                <w:sz w:val="18"/>
                <w:szCs w:val="18"/>
              </w:rPr>
              <w:t xml:space="preserve">40</w:t>
            </w:r>
          </w:p>
        </w:tc>
        <w:tc>
          <w:tcPr>
            <w:tcW w:type="dxa" w:w="1473"/>
          </w:tcPr>
          <w:p>
            <w:pPr>
              <w:jc w:val="center"/>
            </w:pPr>
            <w:r>
              <w:rPr>
                <w:rFonts w:ascii="Times New Roman" w:hAnsi="Times New Roman"/>
                <w:b w:val="0"/>
                <w:i w:val="0"/>
                <w:sz w:val="18"/>
                <w:szCs w:val="18"/>
              </w:rPr>
              <w:t xml:space="preserve">104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VC-11 (5.10 m · Extremo)</w:t>
            </w:r>
          </w:p>
        </w:tc>
        <w:tc>
          <w:tcPr>
            <w:tcW w:type="dxa" w:w="1473"/>
          </w:tcPr>
          <w:p>
            <w:pPr>
              <w:jc w:val="center"/>
            </w:pPr>
            <w:r>
              <w:rPr>
                <w:rFonts w:ascii="Times New Roman" w:hAnsi="Times New Roman"/>
                <w:b w:val="0"/>
                <w:i w:val="0"/>
                <w:sz w:val="18"/>
                <w:szCs w:val="18"/>
              </w:rPr>
              <w:t xml:space="preserve">16</w:t>
            </w:r>
          </w:p>
        </w:tc>
        <w:tc>
          <w:tcPr>
            <w:tcW w:type="dxa" w:w="1473"/>
          </w:tcPr>
          <w:p>
            <w:pPr>
              <w:jc w:val="center"/>
            </w:pPr>
            <w:r>
              <w:rPr>
                <w:rFonts w:ascii="Times New Roman" w:hAnsi="Times New Roman"/>
                <w:b w:val="0"/>
                <w:i w:val="0"/>
                <w:sz w:val="18"/>
                <w:szCs w:val="18"/>
              </w:rPr>
              <w:t xml:space="preserve">97</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VC-12 (5.10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93</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86 mm (conf.) y 150 mm (centro)</w:t>
            </w:r>
          </w:p>
        </w:tc>
      </w:tr>
    </w:tbl>
    <w:p>
      <w:pPr>
        <w:pStyle w:val="Ttulo2"/>
        <w:jc w:val="both"/>
      </w:pPr>
      <w:r>
        <w:rPr>
          <w:rFonts w:ascii="Times New Roman" w:hAnsi="Times New Roman"/>
          <w:b w:val="0"/>
          <w:i w:val="0"/>
          <w:sz w:val="28"/>
          <w:rFonts w:ascii="Times New Roman" w:hAnsi="Times New Roman"/>
        </w:rPr>
        <w:t>Diseño de las riostras o vigas de rigidez</w:t>
      </w:r>
    </w:p>
    <w:p>
      <w:pPr>
        <w:jc w:val="both"/>
      </w:pPr>
      <w:r>
        <w:rPr>
          <w:rFonts w:ascii="Times New Roman" w:hAnsi="Times New Roman"/>
          <w:sz w:val="24"/>
          <w:szCs w:val="24"/>
        </w:rPr>
        <w:t xml:space="preserve">Las vigas de rigidez, de 0.35 metros de ancho por 0.40 metros de altura, complementan el sistema de pórticos aportando rigidez lateral a la edificación. Su diseño sigue el mismo procedimiento descrito para las vigas de carga, agrupándolas en dieciséis tipos según su longitud y su condición de apoyo. El tipo más exigente por flexión, denominado VR-16, corresponde a las vigas de 5.50 metros en vano interior, con un momento negativo de 104 kilonewton metro, atendido con cinco barras número 5 y cuyo momento resistente reducido alcanza 119.4 kilonewton metro. La mayor demanda de cortante se presenta en el tipo VR-4, vigas de 2.60 metros en vano extremo, con 154 kilonewton, controlada con estribos número 3 de dos ramas separados cada 85 milímetros en la zona de confinamiento. El resumen del diseño se presenta en la Tabla 62.</w:t>
      </w:r>
    </w:p>
    <w:p>
      <w:pPr>
        <w:jc w:val="both"/>
      </w:pPr>
      <w:r>
        <w:rPr>
          <w:rFonts w:ascii="Times New Roman" w:hAnsi="Times New Roman"/>
          <w:sz w:val="24"/>
          <w:szCs w:val="24"/>
        </w:rPr>
        <w:t xml:space="preserve">De igual forma se diseñaron los tipos restantes. La separación por condición de apoyo evidencia ahorros importantes: en las vigas de 2.60 metros los vanos extremos requieren cinco barras número 5 para un momento de 97 kilonewton metro, mientras que los sesenta vanos interiores, con momentos cercanos a 29 kilonewton metro, se resuelven con tres barras número 5 gobernadas por la cuantía mínima. En general, los tipos de menor solicitación se arman con tres barras número 5 en ambas caras y los más exigentes con cuatro o cinco; en todos el momento resistente reducido supera al solicitante y la torsión se atiende con refuerzo adicional sólo donde supera el umbral.</w:t>
      </w:r>
    </w:p>
    <w:p>
      <w:pPr>
        <w:pStyle w:val="Descripcin"/>
      </w:pPr>
      <w:r>
        <w:rPr>
          <w:rFonts w:ascii="Times New Roman" w:hAnsi="Times New Roman"/>
          <w:b w:val="0"/>
          <w:i w:val="0"/>
          <w:sz w:val="20"/>
          <w:rFonts w:ascii="Times New Roman" w:hAnsi="Times New Roman"/>
        </w:rPr>
        <w:t>Tabla 62. Resumen del diseño de las riostras o vigas de rigidez (0.35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Pr>
                <w:rFonts w:ascii="Times New Roman" w:hAnsi="Times New Roman"/>
                <w:b w:val="0"/>
                <w:i w:val="0"/>
                <w:sz w:val="18"/>
                <w:szCs w:val="18"/>
              </w:rPr>
              <w:t xml:space="preserve">VR-1 (1.50 m · Extremo)</w:t>
            </w:r>
          </w:p>
        </w:tc>
        <w:tc>
          <w:tcPr>
            <w:tcW w:type="dxa" w:w="1473"/>
          </w:tcPr>
          <w:p>
            <w:pPr>
              <w:jc w:val="center"/>
            </w:pPr>
            <w:r>
              <w:rPr>
                <w:rFonts w:ascii="Times New Roman" w:hAnsi="Times New Roman"/>
                <w:b w:val="0"/>
                <w:i w:val="0"/>
                <w:sz w:val="18"/>
                <w:szCs w:val="18"/>
              </w:rPr>
              <w:t xml:space="preserve">30</w:t>
            </w:r>
          </w:p>
        </w:tc>
        <w:tc>
          <w:tcPr>
            <w:tcW w:type="dxa" w:w="1473"/>
          </w:tcPr>
          <w:p>
            <w:pPr>
              <w:jc w:val="center"/>
            </w:pPr>
            <w:r>
              <w:rPr>
                <w:rFonts w:ascii="Times New Roman" w:hAnsi="Times New Roman"/>
                <w:b w:val="0"/>
                <w:i w:val="0"/>
                <w:sz w:val="18"/>
                <w:szCs w:val="18"/>
              </w:rPr>
              <w:t xml:space="preserve">58</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VR-2 (2.50 m · Extremo)</w:t>
            </w:r>
          </w:p>
        </w:tc>
        <w:tc>
          <w:tcPr>
            <w:tcW w:type="dxa" w:w="1473"/>
          </w:tcPr>
          <w:p>
            <w:pPr>
              <w:jc w:val="center"/>
            </w:pPr>
            <w:r>
              <w:rPr>
                <w:rFonts w:ascii="Times New Roman" w:hAnsi="Times New Roman"/>
                <w:b w:val="0"/>
                <w:i w:val="0"/>
                <w:sz w:val="18"/>
                <w:szCs w:val="18"/>
              </w:rPr>
              <w:t xml:space="preserve">32</w:t>
            </w:r>
          </w:p>
        </w:tc>
        <w:tc>
          <w:tcPr>
            <w:tcW w:type="dxa" w:w="1473"/>
          </w:tcPr>
          <w:p>
            <w:pPr>
              <w:jc w:val="center"/>
            </w:pPr>
            <w:r>
              <w:rPr>
                <w:rFonts w:ascii="Times New Roman" w:hAnsi="Times New Roman"/>
                <w:b w:val="0"/>
                <w:i w:val="0"/>
                <w:sz w:val="18"/>
                <w:szCs w:val="18"/>
              </w:rPr>
              <w:t xml:space="preserve">32</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VR-3 (2.50 m · Interior)</w:t>
            </w:r>
          </w:p>
        </w:tc>
        <w:tc>
          <w:tcPr>
            <w:tcW w:type="dxa" w:w="1473"/>
          </w:tcPr>
          <w:p>
            <w:pPr>
              <w:jc w:val="center"/>
            </w:pPr>
            <w:r>
              <w:rPr>
                <w:rFonts w:ascii="Times New Roman" w:hAnsi="Times New Roman"/>
                <w:b w:val="0"/>
                <w:i w:val="0"/>
                <w:sz w:val="18"/>
                <w:szCs w:val="18"/>
              </w:rPr>
              <w:t xml:space="preserve">18</w:t>
            </w:r>
          </w:p>
        </w:tc>
        <w:tc>
          <w:tcPr>
            <w:tcW w:type="dxa" w:w="1473"/>
          </w:tcPr>
          <w:p>
            <w:pPr>
              <w:jc w:val="center"/>
            </w:pPr>
            <w:r>
              <w:rPr>
                <w:rFonts w:ascii="Times New Roman" w:hAnsi="Times New Roman"/>
                <w:b w:val="0"/>
                <w:i w:val="0"/>
                <w:sz w:val="18"/>
                <w:szCs w:val="18"/>
              </w:rPr>
              <w:t xml:space="preserve">27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VR-4 (2.60 m · Extremo)</w:t>
            </w:r>
          </w:p>
        </w:tc>
        <w:tc>
          <w:tcPr>
            <w:tcW w:type="dxa" w:w="1473"/>
          </w:tcPr>
          <w:p>
            <w:pPr>
              <w:jc w:val="center"/>
            </w:pPr>
            <w:r>
              <w:rPr>
                <w:rFonts w:ascii="Times New Roman" w:hAnsi="Times New Roman"/>
                <w:b w:val="0"/>
                <w:i w:val="0"/>
                <w:sz w:val="18"/>
                <w:szCs w:val="18"/>
              </w:rPr>
              <w:t xml:space="preserve">30</w:t>
            </w:r>
          </w:p>
        </w:tc>
        <w:tc>
          <w:tcPr>
            <w:tcW w:type="dxa" w:w="1473"/>
          </w:tcPr>
          <w:p>
            <w:pPr>
              <w:jc w:val="center"/>
            </w:pPr>
            <w:r>
              <w:rPr>
                <w:rFonts w:ascii="Times New Roman" w:hAnsi="Times New Roman"/>
                <w:b w:val="0"/>
                <w:i w:val="0"/>
                <w:sz w:val="18"/>
                <w:szCs w:val="18"/>
              </w:rPr>
              <w:t xml:space="preserve">97</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VR-5 (2.60 m · Interior)</w:t>
            </w:r>
          </w:p>
        </w:tc>
        <w:tc>
          <w:tcPr>
            <w:tcW w:type="dxa" w:w="1473"/>
          </w:tcPr>
          <w:p>
            <w:pPr>
              <w:jc w:val="center"/>
            </w:pPr>
            <w:r>
              <w:rPr>
                <w:rFonts w:ascii="Times New Roman" w:hAnsi="Times New Roman"/>
                <w:b w:val="0"/>
                <w:i w:val="0"/>
                <w:sz w:val="18"/>
                <w:szCs w:val="18"/>
              </w:rPr>
              <w:t xml:space="preserve">60</w:t>
            </w:r>
          </w:p>
        </w:tc>
        <w:tc>
          <w:tcPr>
            <w:tcW w:type="dxa" w:w="1473"/>
          </w:tcPr>
          <w:p>
            <w:pPr>
              <w:jc w:val="center"/>
            </w:pPr>
            <w:r>
              <w:rPr>
                <w:rFonts w:ascii="Times New Roman" w:hAnsi="Times New Roman"/>
                <w:b w:val="0"/>
                <w:i w:val="0"/>
                <w:sz w:val="18"/>
                <w:szCs w:val="18"/>
              </w:rPr>
              <w:t xml:space="preserve">29</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VR-6 (2.70 m · Extremo)</w:t>
            </w:r>
          </w:p>
        </w:tc>
        <w:tc>
          <w:tcPr>
            <w:tcW w:type="dxa" w:w="1473"/>
          </w:tcPr>
          <w:p>
            <w:pPr>
              <w:jc w:val="center"/>
            </w:pPr>
            <w:r>
              <w:rPr>
                <w:rFonts w:ascii="Times New Roman" w:hAnsi="Times New Roman"/>
                <w:b w:val="0"/>
                <w:i w:val="0"/>
                <w:sz w:val="18"/>
                <w:szCs w:val="18"/>
              </w:rPr>
              <w:t xml:space="preserve">15</w:t>
            </w:r>
          </w:p>
        </w:tc>
        <w:tc>
          <w:tcPr>
            <w:tcW w:type="dxa" w:w="1473"/>
          </w:tcPr>
          <w:p>
            <w:pPr>
              <w:jc w:val="center"/>
            </w:pPr>
            <w:r>
              <w:rPr>
                <w:rFonts w:ascii="Times New Roman" w:hAnsi="Times New Roman"/>
                <w:b w:val="0"/>
                <w:i w:val="0"/>
                <w:sz w:val="18"/>
                <w:szCs w:val="18"/>
              </w:rPr>
              <w:t xml:space="preserve">81</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VR-7 (2.80 m · Extremo)</w:t>
            </w:r>
          </w:p>
        </w:tc>
        <w:tc>
          <w:tcPr>
            <w:tcW w:type="dxa" w:w="1473"/>
          </w:tcPr>
          <w:p>
            <w:pPr>
              <w:jc w:val="center"/>
            </w:pPr>
            <w:r>
              <w:rPr>
                <w:rFonts w:ascii="Times New Roman" w:hAnsi="Times New Roman"/>
                <w:b w:val="0"/>
                <w:i w:val="0"/>
                <w:sz w:val="18"/>
                <w:szCs w:val="18"/>
              </w:rPr>
              <w:t xml:space="preserve">15</w:t>
            </w:r>
          </w:p>
        </w:tc>
        <w:tc>
          <w:tcPr>
            <w:tcW w:type="dxa" w:w="1473"/>
          </w:tcPr>
          <w:p>
            <w:pPr>
              <w:jc w:val="center"/>
            </w:pPr>
            <w:r>
              <w:rPr>
                <w:rFonts w:ascii="Times New Roman" w:hAnsi="Times New Roman"/>
                <w:b w:val="0"/>
                <w:i w:val="0"/>
                <w:sz w:val="18"/>
                <w:szCs w:val="18"/>
              </w:rPr>
              <w:t xml:space="preserve">79</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VR-8 (2.95 m · Extremo)</w:t>
            </w:r>
          </w:p>
        </w:tc>
        <w:tc>
          <w:tcPr>
            <w:tcW w:type="dxa" w:w="1473"/>
          </w:tcPr>
          <w:p>
            <w:pPr>
              <w:jc w:val="center"/>
            </w:pPr>
            <w:r>
              <w:rPr>
                <w:rFonts w:ascii="Times New Roman" w:hAnsi="Times New Roman"/>
                <w:b w:val="0"/>
                <w:i w:val="0"/>
                <w:sz w:val="18"/>
                <w:szCs w:val="18"/>
              </w:rPr>
              <w:t xml:space="preserve">10</w:t>
            </w:r>
          </w:p>
        </w:tc>
        <w:tc>
          <w:tcPr>
            <w:tcW w:type="dxa" w:w="1473"/>
          </w:tcPr>
          <w:p>
            <w:pPr>
              <w:jc w:val="center"/>
            </w:pPr>
            <w:r>
              <w:rPr>
                <w:rFonts w:ascii="Times New Roman" w:hAnsi="Times New Roman"/>
                <w:b w:val="0"/>
                <w:i w:val="0"/>
                <w:sz w:val="18"/>
                <w:szCs w:val="18"/>
              </w:rPr>
              <w:t xml:space="preserve">56</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VR-9 (3.30 m · Extremo)</w:t>
            </w:r>
          </w:p>
        </w:tc>
        <w:tc>
          <w:tcPr>
            <w:tcW w:type="dxa" w:w="1473"/>
          </w:tcPr>
          <w:p>
            <w:pPr>
              <w:jc w:val="center"/>
            </w:pPr>
            <w:r>
              <w:rPr>
                <w:rFonts w:ascii="Times New Roman" w:hAnsi="Times New Roman"/>
                <w:b w:val="0"/>
                <w:i w:val="0"/>
                <w:sz w:val="18"/>
                <w:szCs w:val="18"/>
              </w:rPr>
              <w:t xml:space="preserve">6</w:t>
            </w:r>
          </w:p>
        </w:tc>
        <w:tc>
          <w:tcPr>
            <w:tcW w:type="dxa" w:w="1473"/>
          </w:tcPr>
          <w:p>
            <w:pPr>
              <w:jc w:val="center"/>
            </w:pPr>
            <w:r>
              <w:rPr>
                <w:rFonts w:ascii="Times New Roman" w:hAnsi="Times New Roman"/>
                <w:b w:val="0"/>
                <w:i w:val="0"/>
                <w:sz w:val="18"/>
                <w:szCs w:val="18"/>
              </w:rPr>
              <w:t xml:space="preserve">39</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VR-10 (3.30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37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VR-11 (3.65 m · Extremo)</w:t>
            </w:r>
          </w:p>
        </w:tc>
        <w:tc>
          <w:tcPr>
            <w:tcW w:type="dxa" w:w="1473"/>
          </w:tcPr>
          <w:p>
            <w:pPr>
              <w:jc w:val="center"/>
            </w:pPr>
            <w:r>
              <w:rPr>
                <w:rFonts w:ascii="Times New Roman" w:hAnsi="Times New Roman"/>
                <w:b w:val="0"/>
                <w:i w:val="0"/>
                <w:sz w:val="18"/>
                <w:szCs w:val="18"/>
              </w:rPr>
              <w:t xml:space="preserve">12</w:t>
            </w:r>
          </w:p>
        </w:tc>
        <w:tc>
          <w:tcPr>
            <w:tcW w:type="dxa" w:w="1473"/>
          </w:tcPr>
          <w:p>
            <w:pPr>
              <w:jc w:val="center"/>
            </w:pPr>
            <w:r>
              <w:rPr>
                <w:rFonts w:ascii="Times New Roman" w:hAnsi="Times New Roman"/>
                <w:b w:val="0"/>
                <w:i w:val="0"/>
                <w:sz w:val="18"/>
                <w:szCs w:val="18"/>
              </w:rPr>
              <w:t xml:space="preserve">38</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VR-12 (3.65 m · Interior)</w:t>
            </w:r>
          </w:p>
        </w:tc>
        <w:tc>
          <w:tcPr>
            <w:tcW w:type="dxa" w:w="1473"/>
          </w:tcPr>
          <w:p>
            <w:pPr>
              <w:jc w:val="center"/>
            </w:pPr>
            <w:r>
              <w:rPr>
                <w:rFonts w:ascii="Times New Roman" w:hAnsi="Times New Roman"/>
                <w:b w:val="0"/>
                <w:i w:val="0"/>
                <w:sz w:val="18"/>
                <w:szCs w:val="18"/>
              </w:rPr>
              <w:t xml:space="preserve">28</w:t>
            </w:r>
          </w:p>
        </w:tc>
        <w:tc>
          <w:tcPr>
            <w:tcW w:type="dxa" w:w="1473"/>
          </w:tcPr>
          <w:p>
            <w:pPr>
              <w:jc w:val="center"/>
            </w:pPr>
            <w:r>
              <w:rPr>
                <w:rFonts w:ascii="Times New Roman" w:hAnsi="Times New Roman"/>
                <w:b w:val="0"/>
                <w:i w:val="0"/>
                <w:sz w:val="18"/>
                <w:szCs w:val="18"/>
              </w:rPr>
              <w:t xml:space="preserve">47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VR-13 (4.00 m · Extremo)</w:t>
            </w:r>
          </w:p>
        </w:tc>
        <w:tc>
          <w:tcPr>
            <w:tcW w:type="dxa" w:w="1473"/>
          </w:tcPr>
          <w:p>
            <w:pPr>
              <w:jc w:val="center"/>
            </w:pPr>
            <w:r>
              <w:rPr>
                <w:rFonts w:ascii="Times New Roman" w:hAnsi="Times New Roman"/>
                <w:b w:val="0"/>
                <w:i w:val="0"/>
                <w:sz w:val="18"/>
                <w:szCs w:val="18"/>
              </w:rPr>
              <w:t xml:space="preserve">8</w:t>
            </w:r>
          </w:p>
        </w:tc>
        <w:tc>
          <w:tcPr>
            <w:tcW w:type="dxa" w:w="1473"/>
          </w:tcPr>
          <w:p>
            <w:pPr>
              <w:jc w:val="center"/>
            </w:pPr>
            <w:r>
              <w:rPr>
                <w:rFonts w:ascii="Times New Roman" w:hAnsi="Times New Roman"/>
                <w:b w:val="0"/>
                <w:i w:val="0"/>
                <w:sz w:val="18"/>
                <w:szCs w:val="18"/>
              </w:rPr>
              <w:t xml:space="preserve">65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VR-14 (4.00 m · Interior)</w:t>
            </w:r>
          </w:p>
        </w:tc>
        <w:tc>
          <w:tcPr>
            <w:tcW w:type="dxa" w:w="1473"/>
          </w:tcPr>
          <w:p>
            <w:pPr>
              <w:jc w:val="center"/>
            </w:pPr>
            <w:r>
              <w:rPr>
                <w:rFonts w:ascii="Times New Roman" w:hAnsi="Times New Roman"/>
                <w:b w:val="0"/>
                <w:i w:val="0"/>
                <w:sz w:val="18"/>
                <w:szCs w:val="18"/>
              </w:rPr>
              <w:t xml:space="preserve">22</w:t>
            </w:r>
          </w:p>
        </w:tc>
        <w:tc>
          <w:tcPr>
            <w:tcW w:type="dxa" w:w="1473"/>
          </w:tcPr>
          <w:p>
            <w:pPr>
              <w:jc w:val="center"/>
            </w:pPr>
            <w:r>
              <w:rPr>
                <w:rFonts w:ascii="Times New Roman" w:hAnsi="Times New Roman"/>
                <w:b w:val="0"/>
                <w:i w:val="0"/>
                <w:sz w:val="18"/>
                <w:szCs w:val="18"/>
              </w:rPr>
              <w:t xml:space="preserve">61</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VR-15 (4.18 m · Interior)</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78</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VR-16 (5.50 m · Interior)</w:t>
            </w:r>
          </w:p>
        </w:tc>
        <w:tc>
          <w:tcPr>
            <w:tcW w:type="dxa" w:w="1473"/>
          </w:tcPr>
          <w:p>
            <w:pPr>
              <w:jc w:val="center"/>
            </w:pPr>
            <w:r>
              <w:rPr>
                <w:rFonts w:ascii="Times New Roman" w:hAnsi="Times New Roman"/>
                <w:b w:val="0"/>
                <w:i w:val="0"/>
                <w:sz w:val="18"/>
                <w:szCs w:val="18"/>
              </w:rPr>
              <w:t xml:space="preserve">2</w:t>
            </w:r>
          </w:p>
        </w:tc>
        <w:tc>
          <w:tcPr>
            <w:tcW w:type="dxa" w:w="1473"/>
          </w:tcPr>
          <w:p>
            <w:pPr>
              <w:jc w:val="center"/>
            </w:pPr>
            <w:r>
              <w:rPr>
                <w:rFonts w:ascii="Times New Roman" w:hAnsi="Times New Roman"/>
                <w:b w:val="0"/>
                <w:i w:val="0"/>
                <w:sz w:val="18"/>
                <w:szCs w:val="18"/>
              </w:rPr>
              <w:t xml:space="preserve">104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bl>
    <w:p>
      <w:pPr>
        <w:pStyle w:val="Ttulo2"/>
        <w:jc w:val="both"/>
      </w:pPr>
      <w:r>
        <w:t xml:space="preserve">Diseño de las riostras de cimentación</w:t>
      </w:r>
    </w:p>
    <w:p>
      <w:pPr>
        <w:jc w:val="both"/>
      </w:pPr>
      <w:r>
        <w:rPr>
          <w:rFonts w:ascii="Times New Roman" w:hAnsi="Times New Roman"/>
          <w:sz w:val="24"/>
          <w:szCs w:val="24"/>
        </w:rPr>
        <w:t xml:space="preserve">Las riostras de cimentación, o vigas de amarre, interconectan las zapatas y garantizan que la cimentación se comporte de manera integral ante las acciones sísmicas, conforme lo exige la sección A.3.6.4.2 del Reglamento NSR-10. Según dicha disposición, los elementos de amarre deben resistir, en tracción o en compresión, una fuerza axial no menor que el veinticinco por ciento del coeficiente Aa multiplicado por la carga vertical mayorada de la columna más cargada que conectan.</w:t>
      </w:r>
    </w:p>
    <w:p>
      <w:pPr>
        <w:jc w:val="both"/>
      </w:pPr>
      <w:r>
        <w:rPr>
          <w:rFonts w:ascii="Times New Roman" w:hAnsi="Times New Roman"/>
          <w:sz w:val="24"/>
          <w:szCs w:val="24"/>
        </w:rPr>
        <w:t xml:space="preserve">Para el proyecto, con Aa igual a 0.15 y una carga axial mayorada máxima en columnas de 2591 kilonewton obtenida del modelo, la fuerza de diseño resulta N = 0.25 × 0.15 × 2591 = 97.2 kilonewton. La dimensión mínima de la sección se toma como la luz entre apoyos dividida entre veinte, que para la mayor luz de 4.00 metros equivale a 200 milímetros; por ello se adopta una sección de 0.30 por 0.30 metros. El acero requerido por tracción es As = N dividido entre el producto de 0.90 y 420, igual a 257 milímetros cuadrados, superior al mínimo de 233 milímetros cuadrados, y se cubre con cuatro barras número 5 dispuestas simétricamente, equivalentes a 516 milímetros cuadrados, cuya resistencia reducida a tracción de 195 kilonewton supera la solicitación; en compresión la sección resiste ampliamente la misma fuerza. El refuerzo transversal se dispone con estribos número 3 cada 150 milímetros, reducidos a 100 milímetros en las zonas de confinamiento contiguas a las columnas. Todas las riostras se diseñan con la misma sección y refuerzo y se agrupan por longitud para el despiece, como se resume en la Tabla 63.</w:t>
      </w:r>
    </w:p>
    <w:p>
      <w:pPr>
        <w:jc w:val="center"/>
      </w:pPr>
      <w:r>
        <w:rPr>
          <w:rFonts w:ascii="Times New Roman" w:hAnsi="Times New Roman"/>
          <w:b/>
          <w:sz w:val="20"/>
          <w:szCs w:val="20"/>
        </w:rPr>
        <w:t xml:space="preserve">Tabla 63. Resumen del diseño de las riostras de cimentación (0.30 × 0.30 m).</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D9E1F2"/>
          </w:tcPr>
          <w:p>
            <w:pPr>
              <w:jc w:val="center"/>
            </w:pPr>
            <w:r>
              <w:rPr>
                <w:rFonts w:ascii="Times New Roman" w:hAnsi="Times New Roman"/>
                <w:b/>
                <w:sz w:val="18"/>
                <w:szCs w:val="18"/>
              </w:rPr>
              <w:t xml:space="preserve">Tipo</w:t>
            </w:r>
          </w:p>
        </w:tc>
        <w:tc>
          <w:tcPr>
            <w:tcW w:type="dxa" w:w="1560"/>
            <w:shd w:val="clear" w:color="auto" w:fill="D9E1F2"/>
          </w:tcPr>
          <w:p>
            <w:pPr>
              <w:jc w:val="center"/>
            </w:pPr>
            <w:r>
              <w:rPr>
                <w:rFonts w:ascii="Times New Roman" w:hAnsi="Times New Roman"/>
                <w:b/>
                <w:sz w:val="18"/>
                <w:szCs w:val="18"/>
              </w:rPr>
              <w:t xml:space="preserve">Longitud (m)</w:t>
            </w:r>
          </w:p>
        </w:tc>
        <w:tc>
          <w:tcPr>
            <w:tcW w:type="dxa" w:w="1560"/>
            <w:shd w:val="clear" w:color="auto" w:fill="D9E1F2"/>
          </w:tcPr>
          <w:p>
            <w:pPr>
              <w:jc w:val="center"/>
            </w:pPr>
            <w:r>
              <w:rPr>
                <w:rFonts w:ascii="Times New Roman" w:hAnsi="Times New Roman"/>
                <w:b/>
                <w:sz w:val="18"/>
                <w:szCs w:val="18"/>
              </w:rPr>
              <w:t xml:space="preserve">Nº riostras</w:t>
            </w:r>
          </w:p>
        </w:tc>
        <w:tc>
          <w:tcPr>
            <w:tcW w:type="dxa" w:w="1560"/>
            <w:shd w:val="clear" w:color="auto" w:fill="D9E1F2"/>
          </w:tcPr>
          <w:p>
            <w:pPr>
              <w:jc w:val="center"/>
            </w:pPr>
            <w:r>
              <w:rPr>
                <w:rFonts w:ascii="Times New Roman" w:hAnsi="Times New Roman"/>
                <w:b/>
                <w:sz w:val="18"/>
                <w:szCs w:val="18"/>
              </w:rPr>
              <w:t xml:space="preserve">Sección</w:t>
            </w:r>
          </w:p>
        </w:tc>
        <w:tc>
          <w:tcPr>
            <w:tcW w:type="dxa" w:w="1560"/>
            <w:shd w:val="clear" w:color="auto" w:fill="D9E1F2"/>
          </w:tcPr>
          <w:p>
            <w:pPr>
              <w:jc w:val="center"/>
            </w:pPr>
            <w:r>
              <w:rPr>
                <w:rFonts w:ascii="Times New Roman" w:hAnsi="Times New Roman"/>
                <w:b/>
                <w:sz w:val="18"/>
                <w:szCs w:val="18"/>
              </w:rPr>
              <w:t xml:space="preserve">Refuerzo longitudinal</w:t>
            </w:r>
          </w:p>
        </w:tc>
        <w:tc>
          <w:tcPr>
            <w:tcW w:type="dxa" w:w="1560"/>
            <w:shd w:val="clear" w:color="auto" w:fill="D9E1F2"/>
          </w:tcPr>
          <w:p>
            <w:pPr>
              <w:jc w:val="center"/>
            </w:pPr>
            <w:r>
              <w:rPr>
                <w:rFonts w:ascii="Times New Roman" w:hAnsi="Times New Roman"/>
                <w:b/>
                <w:sz w:val="18"/>
                <w:szCs w:val="18"/>
              </w:rPr>
              <w:t xml:space="preserve">Estribos Nº3</w:t>
            </w:r>
          </w:p>
        </w:tc>
      </w:tr>
      <w:tr>
        <w:tc>
          <w:tcPr>
            <w:tcW w:type="dxa" w:w="1560"/>
          </w:tcPr>
          <w:p>
            <w:pPr>
              <w:jc w:val="center"/>
            </w:pPr>
            <w:r>
              <w:rPr>
                <w:rFonts w:ascii="Times New Roman" w:hAnsi="Times New Roman"/>
                <w:b w:val="0"/>
                <w:sz w:val="18"/>
                <w:szCs w:val="18"/>
              </w:rPr>
              <w:t xml:space="preserve">R-1</w:t>
            </w:r>
          </w:p>
        </w:tc>
        <w:tc>
          <w:tcPr>
            <w:tcW w:type="dxa" w:w="1560"/>
          </w:tcPr>
          <w:p>
            <w:pPr>
              <w:jc w:val="center"/>
            </w:pPr>
            <w:r>
              <w:rPr>
                <w:rFonts w:ascii="Times New Roman" w:hAnsi="Times New Roman"/>
                <w:b w:val="0"/>
                <w:sz w:val="18"/>
                <w:szCs w:val="18"/>
              </w:rPr>
              <w:t xml:space="preserve">2.50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R-2</w:t>
            </w:r>
          </w:p>
        </w:tc>
        <w:tc>
          <w:tcPr>
            <w:tcW w:type="dxa" w:w="1560"/>
          </w:tcPr>
          <w:p>
            <w:pPr>
              <w:jc w:val="center"/>
            </w:pPr>
            <w:r>
              <w:rPr>
                <w:rFonts w:ascii="Times New Roman" w:hAnsi="Times New Roman"/>
                <w:b w:val="0"/>
                <w:sz w:val="18"/>
                <w:szCs w:val="18"/>
              </w:rPr>
              <w:t xml:space="preserve">2.60</w:t>
            </w:r>
          </w:p>
        </w:tc>
        <w:tc>
          <w:tcPr>
            <w:tcW w:type="dxa" w:w="1560"/>
          </w:tcPr>
          <w:p>
            <w:pPr>
              <w:jc w:val="center"/>
            </w:pPr>
            <w:r>
              <w:rPr>
                <w:rFonts w:ascii="Times New Roman" w:hAnsi="Times New Roman"/>
                <w:b w:val="0"/>
                <w:sz w:val="18"/>
                <w:szCs w:val="18"/>
              </w:rPr>
              <w:t xml:space="preserve">20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R-3</w:t>
            </w:r>
          </w:p>
        </w:tc>
        <w:tc>
          <w:tcPr>
            <w:tcW w:type="dxa" w:w="1560"/>
          </w:tcPr>
          <w:p>
            <w:pPr>
              <w:jc w:val="center"/>
            </w:pPr>
            <w:r>
              <w:rPr>
                <w:rFonts w:ascii="Times New Roman" w:hAnsi="Times New Roman"/>
                <w:b w:val="0"/>
                <w:sz w:val="18"/>
                <w:szCs w:val="18"/>
              </w:rPr>
              <w:t xml:space="preserve">2.70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R-4</w:t>
            </w:r>
          </w:p>
        </w:tc>
        <w:tc>
          <w:tcPr>
            <w:tcW w:type="dxa" w:w="1560"/>
          </w:tcPr>
          <w:p>
            <w:pPr>
              <w:jc w:val="center"/>
            </w:pPr>
            <w:r>
              <w:rPr>
                <w:rFonts w:ascii="Times New Roman" w:hAnsi="Times New Roman"/>
                <w:b w:val="0"/>
                <w:sz w:val="18"/>
                <w:szCs w:val="18"/>
              </w:rPr>
              <w:t xml:space="preserve">2.80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R-5</w:t>
            </w:r>
          </w:p>
        </w:tc>
        <w:tc>
          <w:tcPr>
            <w:tcW w:type="dxa" w:w="1560"/>
          </w:tcPr>
          <w:p>
            <w:pPr>
              <w:jc w:val="center"/>
            </w:pPr>
            <w:r>
              <w:rPr>
                <w:rFonts w:ascii="Times New Roman" w:hAnsi="Times New Roman"/>
                <w:b w:val="0"/>
                <w:sz w:val="18"/>
                <w:szCs w:val="18"/>
              </w:rPr>
              <w:t xml:space="preserve">3.65</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R-6</w:t>
            </w:r>
          </w:p>
        </w:tc>
        <w:tc>
          <w:tcPr>
            <w:tcW w:type="dxa" w:w="1560"/>
          </w:tcPr>
          <w:p>
            <w:pPr>
              <w:jc w:val="center"/>
            </w:pPr>
            <w:r>
              <w:rPr>
                <w:rFonts w:ascii="Times New Roman" w:hAnsi="Times New Roman"/>
                <w:b w:val="0"/>
                <w:sz w:val="18"/>
                <w:szCs w:val="18"/>
              </w:rPr>
              <w:t xml:space="preserve">3.85</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R-7</w:t>
            </w:r>
          </w:p>
        </w:tc>
        <w:tc>
          <w:tcPr>
            <w:tcW w:type="dxa" w:w="1560"/>
          </w:tcPr>
          <w:p>
            <w:pPr>
              <w:jc w:val="center"/>
            </w:pPr>
            <w:r>
              <w:rPr>
                <w:rFonts w:ascii="Times New Roman" w:hAnsi="Times New Roman"/>
                <w:b w:val="0"/>
                <w:sz w:val="18"/>
                <w:szCs w:val="18"/>
              </w:rPr>
              <w:t xml:space="preserve">3.90</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R-8</w:t>
            </w:r>
          </w:p>
        </w:tc>
        <w:tc>
          <w:tcPr>
            <w:tcW w:type="dxa" w:w="1560"/>
          </w:tcPr>
          <w:p>
            <w:pPr>
              <w:jc w:val="center"/>
            </w:pPr>
            <w:r>
              <w:rPr>
                <w:rFonts w:ascii="Times New Roman" w:hAnsi="Times New Roman"/>
                <w:b w:val="0"/>
                <w:sz w:val="18"/>
                <w:szCs w:val="18"/>
              </w:rPr>
              <w:t xml:space="preserve">4.00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bl>
    <w:p>
      <w:pPr>
        <w:pStyle w:val="Ttulo2"/>
        <w:jc w:val="both"/>
      </w:pPr>
      <w:r>
        <w:rPr>
          <w:rFonts w:ascii="Times New Roman" w:hAnsi="Times New Roman"/>
          <w:b w:val="0"/>
          <w:i w:val="0"/>
          <w:sz w:val="28"/>
          <w:rFonts w:ascii="Times New Roman" w:hAnsi="Times New Roman"/>
        </w:rPr>
        <w:t>Despiece de los elementos</w:t>
      </w:r>
    </w:p>
    <w:p>
      <w:pPr>
        <w:jc w:val="both"/>
      </w:pPr>
      <w:r>
        <w:rPr>
          <w:rFonts w:ascii="Times New Roman" w:hAnsi="Times New Roman"/>
          <w:b w:val="0"/>
          <w:i w:val="0"/>
          <w:sz w:val="24"/>
          <w:rFonts w:ascii="Times New Roman" w:hAnsi="Times New Roman"/>
        </w:rPr>
        <w:t>El despiece de cada tipo de vigueta, viga y riostra se presenta en los planos estructurales correspondientes. En ellos se detalla, en la elevación de cada elemento, el refuerzo inferior corrido a lo largo de la luz y los bastones superiores dispuestos sobre los apoyos en una longitud igual a la cuarta parte de la luz más la longitud de desarrollo, así como la distribución de los estribos diferenciando la zona de confinamiento de la zona central. En la sección transversal se indica la distribución de las barras longitudinales y la configuración del estribo. Estos planos constituyen la base para el armado en obra de los elementos diseñados.</w:t>
      </w:r>
    </w:p>
    <w:p>
      <w:pPr>
        <w:pStyle w:val="Ttulo2"/>
      </w:pPr>
      <w:r>
        <w:rPr>
          <w:rFonts w:ascii="Times New Roman" w:hAnsi="Times New Roman"/>
          <w:b w:val="0"/>
          <w:i w:val="0"/>
          <w:sz w:val="28"/>
          <w:rFonts w:ascii="Times New Roman" w:hAnsi="Times New Roman"/>
        </w:rPr>
        <w:t>Longitudes de desarrollo, ganchos y estribos</w:t>
      </w:r>
    </w:p>
    <w:p>
      <w:pPr>
        <w:jc w:val="both"/>
      </w:pPr>
      <w:r>
        <w:rPr>
          <w:rFonts w:ascii="Times New Roman" w:hAnsi="Times New Roman"/>
          <w:b w:val="0"/>
          <w:i w:val="0"/>
          <w:sz w:val="24"/>
          <w:rFonts w:ascii="Times New Roman" w:hAnsi="Times New Roman"/>
        </w:rPr>
        <w:t>Para el detallado del refuerzo se determinaron las longitudes de desarrollo, los ganchos y la separacion de los estribos conforme a los Capitulos C.7 y C.12 de la NSR-10. La longitud de desarrollo de las barras ancladas mediante gancho estandar se calculo con la expresion ldh igual a 0.24 veces el cociente entre el esfuerzo de fluencia y la raiz de la resistencia del concreto, multiplicado por el diametro de la barra, sin que resulte inferior a ocho diametros ni a 150 milimetros. El gancho estandar a noventa grados presenta una extension libre de doce diametros, mientras que los estribos rematan con ganchos sismicos a ciento treinta y cinco grados con una extension de seis diametros, no menor a 75 milimetros. El diametro de doblado adoptado es de seis diametros de barra.</w:t>
      </w:r>
    </w:p>
    <w:p>
      <w:pPr>
        <w:pStyle w:val="Descripcin"/>
      </w:pPr>
      <w:r>
        <w:rPr>
          <w:rFonts w:ascii="Times New Roman" w:hAnsi="Times New Roman"/>
          <w:b w:val="0"/>
          <w:i w:val="0"/>
          <w:sz w:val="20"/>
          <w:rFonts w:ascii="Times New Roman" w:hAnsi="Times New Roman"/>
        </w:rPr>
        <w:t>Tabla 63. Longitudes de desarrollo y ganchos por diametro de barra (mm).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Barra</w:t>
            </w:r>
          </w:p>
        </w:tc>
        <w:tc>
          <w:tcPr>
            <w:tcW w:type="dxa" w:w="1473"/>
            <w:shd w:val="clear" w:fill="D9E1F2"/>
          </w:tcPr>
          <w:p>
            <w:pPr>
              <w:jc w:val="center"/>
            </w:pPr>
            <w:r/>
            <w:r>
              <w:rPr>
                <w:rFonts w:ascii="Times New Roman" w:hAnsi="Times New Roman"/>
                <w:b/>
                <w:i w:val="0"/>
                <w:sz w:val="18"/>
                <w:rFonts w:ascii="Times New Roman" w:hAnsi="Times New Roman"/>
              </w:rPr>
              <w:t>Diametro</w:t>
            </w:r>
          </w:p>
        </w:tc>
        <w:tc>
          <w:tcPr>
            <w:tcW w:type="dxa" w:w="1473"/>
            <w:shd w:val="clear" w:fill="D9E1F2"/>
          </w:tcPr>
          <w:p>
            <w:pPr>
              <w:jc w:val="center"/>
            </w:pPr>
            <w:r/>
            <w:r>
              <w:rPr>
                <w:rFonts w:ascii="Times New Roman" w:hAnsi="Times New Roman"/>
                <w:b/>
                <w:i w:val="0"/>
                <w:sz w:val="18"/>
                <w:rFonts w:ascii="Times New Roman" w:hAnsi="Times New Roman"/>
              </w:rPr>
              <w:t>ldh (gancho)</w:t>
            </w:r>
          </w:p>
        </w:tc>
        <w:tc>
          <w:tcPr>
            <w:tcW w:type="dxa" w:w="1473"/>
            <w:shd w:val="clear" w:fill="D9E1F2"/>
          </w:tcPr>
          <w:p>
            <w:pPr>
              <w:jc w:val="center"/>
            </w:pPr>
            <w:r/>
            <w:r>
              <w:rPr>
                <w:rFonts w:ascii="Times New Roman" w:hAnsi="Times New Roman"/>
                <w:b/>
                <w:i w:val="0"/>
                <w:sz w:val="18"/>
                <w:rFonts w:ascii="Times New Roman" w:hAnsi="Times New Roman"/>
              </w:rPr>
              <w:t>Gancho 90 grados</w:t>
            </w:r>
          </w:p>
        </w:tc>
        <w:tc>
          <w:tcPr>
            <w:tcW w:type="dxa" w:w="1473"/>
            <w:shd w:val="clear" w:fill="D9E1F2"/>
          </w:tcPr>
          <w:p>
            <w:pPr>
              <w:jc w:val="center"/>
            </w:pPr>
            <w:r/>
            <w:r>
              <w:rPr>
                <w:rFonts w:ascii="Times New Roman" w:hAnsi="Times New Roman"/>
                <w:b/>
                <w:i w:val="0"/>
                <w:sz w:val="18"/>
                <w:rFonts w:ascii="Times New Roman" w:hAnsi="Times New Roman"/>
              </w:rPr>
              <w:t>Gancho 135 (estribo)</w:t>
            </w:r>
          </w:p>
        </w:tc>
        <w:tc>
          <w:tcPr>
            <w:tcW w:type="dxa" w:w="1473"/>
            <w:shd w:val="clear" w:fill="D9E1F2"/>
          </w:tcPr>
          <w:p>
            <w:pPr>
              <w:jc w:val="center"/>
            </w:pPr>
            <w:r/>
            <w:r>
              <w:rPr>
                <w:rFonts w:ascii="Times New Roman" w:hAnsi="Times New Roman"/>
                <w:b/>
                <w:i w:val="0"/>
                <w:sz w:val="18"/>
                <w:rFonts w:ascii="Times New Roman" w:hAnsi="Times New Roman"/>
              </w:rPr>
              <w:t>Diametro doblado</w:t>
            </w:r>
          </w:p>
        </w:tc>
      </w:tr>
      <w:tr>
        <w:tc>
          <w:tcPr>
            <w:tcW w:type="dxa" w:w="1473"/>
          </w:tcPr>
          <w:p>
            <w:pPr>
              <w:jc w:val="center"/>
            </w:pPr>
            <w:r/>
            <w:r>
              <w:rPr>
                <w:rFonts w:ascii="Times New Roman" w:hAnsi="Times New Roman"/>
                <w:b w:val="0"/>
                <w:i w:val="0"/>
                <w:sz w:val="18"/>
                <w:rFonts w:ascii="Times New Roman" w:hAnsi="Times New Roman"/>
              </w:rPr>
              <w:t>Nº 3</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181</w:t>
            </w:r>
          </w:p>
        </w:tc>
        <w:tc>
          <w:tcPr>
            <w:tcW w:type="dxa" w:w="1473"/>
          </w:tcPr>
          <w:p>
            <w:pPr>
              <w:jc w:val="center"/>
            </w:pPr>
            <w:r/>
            <w:r>
              <w:rPr>
                <w:rFonts w:ascii="Times New Roman" w:hAnsi="Times New Roman"/>
                <w:b w:val="0"/>
                <w:i w:val="0"/>
                <w:sz w:val="18"/>
                <w:rFonts w:ascii="Times New Roman" w:hAnsi="Times New Roman"/>
              </w:rPr>
              <w:t>114</w:t>
            </w:r>
          </w:p>
        </w:tc>
        <w:tc>
          <w:tcPr>
            <w:tcW w:type="dxa" w:w="1473"/>
          </w:tcPr>
          <w:p>
            <w:pPr>
              <w:jc w:val="center"/>
            </w:pPr>
            <w:r/>
            <w:r>
              <w:rPr>
                <w:rFonts w:ascii="Times New Roman" w:hAnsi="Times New Roman"/>
                <w:b w:val="0"/>
                <w:i w:val="0"/>
                <w:sz w:val="18"/>
                <w:rFonts w:ascii="Times New Roman" w:hAnsi="Times New Roman"/>
              </w:rPr>
              <w:t>75</w:t>
            </w:r>
          </w:p>
        </w:tc>
        <w:tc>
          <w:tcPr>
            <w:tcW w:type="dxa" w:w="1473"/>
          </w:tcPr>
          <w:p>
            <w:pPr>
              <w:jc w:val="center"/>
            </w:pPr>
            <w:r/>
            <w:r>
              <w:rPr>
                <w:rFonts w:ascii="Times New Roman" w:hAnsi="Times New Roman"/>
                <w:b w:val="0"/>
                <w:i w:val="0"/>
                <w:sz w:val="18"/>
                <w:rFonts w:ascii="Times New Roman" w:hAnsi="Times New Roman"/>
              </w:rPr>
              <w:t>57</w:t>
            </w:r>
          </w:p>
        </w:tc>
      </w:tr>
      <w:tr>
        <w:tc>
          <w:tcPr>
            <w:tcW w:type="dxa" w:w="1473"/>
          </w:tcPr>
          <w:p>
            <w:pPr>
              <w:jc w:val="center"/>
            </w:pPr>
            <w:r/>
            <w:r>
              <w:rPr>
                <w:rFonts w:ascii="Times New Roman" w:hAnsi="Times New Roman"/>
                <w:b w:val="0"/>
                <w:i w:val="0"/>
                <w:sz w:val="18"/>
                <w:rFonts w:ascii="Times New Roman" w:hAnsi="Times New Roman"/>
              </w:rPr>
              <w:t>Nº 4</w:t>
            </w:r>
          </w:p>
        </w:tc>
        <w:tc>
          <w:tcPr>
            <w:tcW w:type="dxa" w:w="1473"/>
          </w:tcPr>
          <w:p>
            <w:pPr>
              <w:jc w:val="center"/>
            </w:pPr>
            <w:r/>
            <w:r>
              <w:rPr>
                <w:rFonts w:ascii="Times New Roman" w:hAnsi="Times New Roman"/>
                <w:b w:val="0"/>
                <w:i w:val="0"/>
                <w:sz w:val="18"/>
                <w:rFonts w:ascii="Times New Roman" w:hAnsi="Times New Roman"/>
              </w:rPr>
              <w:t>12.7</w:t>
            </w:r>
          </w:p>
        </w:tc>
        <w:tc>
          <w:tcPr>
            <w:tcW w:type="dxa" w:w="1473"/>
          </w:tcPr>
          <w:p>
            <w:pPr>
              <w:jc w:val="center"/>
            </w:pPr>
            <w:r/>
            <w:r>
              <w:rPr>
                <w:rFonts w:ascii="Times New Roman" w:hAnsi="Times New Roman"/>
                <w:b w:val="0"/>
                <w:i w:val="0"/>
                <w:sz w:val="18"/>
                <w:rFonts w:ascii="Times New Roman" w:hAnsi="Times New Roman"/>
              </w:rPr>
              <w:t>242</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76</w:t>
            </w:r>
          </w:p>
        </w:tc>
      </w:tr>
      <w:tr>
        <w:tc>
          <w:tcPr>
            <w:tcW w:type="dxa" w:w="1473"/>
          </w:tcPr>
          <w:p>
            <w:pPr>
              <w:jc w:val="center"/>
            </w:pPr>
            <w:r/>
            <w:r>
              <w:rPr>
                <w:rFonts w:ascii="Times New Roman" w:hAnsi="Times New Roman"/>
                <w:b w:val="0"/>
                <w:i w:val="0"/>
                <w:sz w:val="18"/>
                <w:rFonts w:ascii="Times New Roman" w:hAnsi="Times New Roman"/>
              </w:rPr>
              <w:t>Nº 5</w:t>
            </w:r>
          </w:p>
        </w:tc>
        <w:tc>
          <w:tcPr>
            <w:tcW w:type="dxa" w:w="1473"/>
          </w:tcPr>
          <w:p>
            <w:pPr>
              <w:jc w:val="center"/>
            </w:pPr>
            <w:r/>
            <w:r>
              <w:rPr>
                <w:rFonts w:ascii="Times New Roman" w:hAnsi="Times New Roman"/>
                <w:b w:val="0"/>
                <w:i w:val="0"/>
                <w:sz w:val="18"/>
                <w:rFonts w:ascii="Times New Roman" w:hAnsi="Times New Roman"/>
              </w:rPr>
              <w:t>15.9</w:t>
            </w:r>
          </w:p>
        </w:tc>
        <w:tc>
          <w:tcPr>
            <w:tcW w:type="dxa" w:w="1473"/>
          </w:tcPr>
          <w:p>
            <w:pPr>
              <w:jc w:val="center"/>
            </w:pPr>
            <w:r/>
            <w:r>
              <w:rPr>
                <w:rFonts w:ascii="Times New Roman" w:hAnsi="Times New Roman"/>
                <w:b w:val="0"/>
                <w:i w:val="0"/>
                <w:sz w:val="18"/>
                <w:rFonts w:ascii="Times New Roman" w:hAnsi="Times New Roman"/>
              </w:rPr>
              <w:t>303</w:t>
            </w:r>
          </w:p>
        </w:tc>
        <w:tc>
          <w:tcPr>
            <w:tcW w:type="dxa" w:w="1473"/>
          </w:tcPr>
          <w:p>
            <w:pPr>
              <w:jc w:val="center"/>
            </w:pPr>
            <w:r/>
            <w:r>
              <w:rPr>
                <w:rFonts w:ascii="Times New Roman" w:hAnsi="Times New Roman"/>
                <w:b w:val="0"/>
                <w:i w:val="0"/>
                <w:sz w:val="18"/>
                <w:rFonts w:ascii="Times New Roman" w:hAnsi="Times New Roman"/>
              </w:rPr>
              <w:t>191</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95</w:t>
            </w:r>
          </w:p>
        </w:tc>
      </w:tr>
    </w:tbl>
    <w:p>
      <w:pPr>
        <w:jc w:val="both"/>
      </w:pPr>
      <w:r>
        <w:rPr>
          <w:rFonts w:ascii="Times New Roman" w:hAnsi="Times New Roman"/>
          <w:b w:val="0"/>
          <w:i w:val="0"/>
          <w:sz w:val="24"/>
          <w:rFonts w:ascii="Times New Roman" w:hAnsi="Times New Roman"/>
        </w:rPr>
        <w:t>La longitud de corte de cada barra se obtuvo sumando a la luz libre del elemento dos veces la longitud de desarrollo con gancho, considerando el anclaje dentro de las columnas en ambos extremos. Las barras superiores que no se prolongan en toda la luz se disponen como bastones sobre los apoyos, con una longitud igual a la cuarta parte de la luz mas la longitud de desarrollo medida desde la cara del apoyo.</w:t>
      </w:r>
    </w:p>
    <w:p>
      <w:pPr>
        <w:pStyle w:val="Descripcin"/>
      </w:pPr>
      <w:r>
        <w:rPr>
          <w:rFonts w:ascii="Times New Roman" w:hAnsi="Times New Roman"/>
          <w:b w:val="0"/>
          <w:i w:val="0"/>
          <w:sz w:val="20"/>
          <w:rFonts w:ascii="Times New Roman" w:hAnsi="Times New Roman"/>
        </w:rPr>
        <w:t>Tabla 64. Longitud de corte de las barras longitudinales.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Elemento</w:t>
            </w:r>
          </w:p>
        </w:tc>
        <w:tc>
          <w:tcPr>
            <w:tcW w:type="dxa" w:w="1768"/>
            <w:shd w:val="clear" w:fill="D9E1F2"/>
          </w:tcPr>
          <w:p>
            <w:pPr>
              <w:jc w:val="center"/>
            </w:pPr>
            <w:r/>
            <w:r>
              <w:rPr>
                <w:rFonts w:ascii="Times New Roman" w:hAnsi="Times New Roman"/>
                <w:b/>
                <w:i w:val="0"/>
                <w:sz w:val="18"/>
                <w:rFonts w:ascii="Times New Roman" w:hAnsi="Times New Roman"/>
              </w:rPr>
              <w:t>Barra</w:t>
            </w:r>
          </w:p>
        </w:tc>
        <w:tc>
          <w:tcPr>
            <w:tcW w:type="dxa" w:w="1768"/>
            <w:shd w:val="clear" w:fill="D9E1F2"/>
          </w:tcPr>
          <w:p>
            <w:pPr>
              <w:jc w:val="center"/>
            </w:pPr>
            <w:r/>
            <w:r>
              <w:rPr>
                <w:rFonts w:ascii="Times New Roman" w:hAnsi="Times New Roman"/>
                <w:b/>
                <w:i w:val="0"/>
                <w:sz w:val="18"/>
                <w:rFonts w:ascii="Times New Roman" w:hAnsi="Times New Roman"/>
              </w:rPr>
              <w:t>Luz libre (m)</w:t>
            </w:r>
          </w:p>
        </w:tc>
        <w:tc>
          <w:tcPr>
            <w:tcW w:type="dxa" w:w="1768"/>
            <w:shd w:val="clear" w:fill="D9E1F2"/>
          </w:tcPr>
          <w:p>
            <w:pPr>
              <w:jc w:val="center"/>
            </w:pPr>
            <w:r/>
            <w:r>
              <w:rPr>
                <w:rFonts w:ascii="Times New Roman" w:hAnsi="Times New Roman"/>
                <w:b/>
                <w:i w:val="0"/>
                <w:sz w:val="18"/>
                <w:rFonts w:ascii="Times New Roman" w:hAnsi="Times New Roman"/>
              </w:rPr>
              <w:t>ldh (mm)</w:t>
            </w:r>
          </w:p>
        </w:tc>
        <w:tc>
          <w:tcPr>
            <w:tcW w:type="dxa" w:w="1768"/>
            <w:shd w:val="clear" w:fill="D9E1F2"/>
          </w:tcPr>
          <w:p>
            <w:pPr>
              <w:jc w:val="center"/>
            </w:pPr>
            <w:r/>
            <w:r>
              <w:rPr>
                <w:rFonts w:ascii="Times New Roman" w:hAnsi="Times New Roman"/>
                <w:b/>
                <w:i w:val="0"/>
                <w:sz w:val="18"/>
                <w:rFonts w:ascii="Times New Roman" w:hAnsi="Times New Roman"/>
              </w:rPr>
              <w:t>Longitud de barra (m)</w:t>
            </w:r>
          </w:p>
        </w:tc>
      </w:tr>
      <w:tr>
        <w:tc>
          <w:tcPr>
            <w:tcW w:type="dxa" w:w="1768"/>
          </w:tcPr>
          <w:p>
            <w:pPr>
              <w:jc w:val="center"/>
            </w:pPr>
            <w:r/>
            <w:r>
              <w:rPr>
                <w:rFonts w:ascii="Times New Roman" w:hAnsi="Times New Roman"/>
                <w:b w:val="0"/>
                <w:i w:val="0"/>
                <w:sz w:val="18"/>
                <w:rFonts w:ascii="Times New Roman" w:hAnsi="Times New Roman"/>
              </w:rPr>
              <w:t>Viga de carga VC</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4.90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5.51</w:t>
            </w:r>
          </w:p>
        </w:tc>
      </w:tr>
      <w:tr>
        <w:tc>
          <w:tcPr>
            <w:tcW w:type="dxa" w:w="1768"/>
          </w:tcPr>
          <w:p>
            <w:pPr>
              <w:jc w:val="center"/>
            </w:pPr>
            <w:r/>
            <w:r>
              <w:rPr>
                <w:rFonts w:ascii="Times New Roman" w:hAnsi="Times New Roman"/>
                <w:b w:val="0"/>
                <w:i w:val="0"/>
                <w:sz w:val="18"/>
                <w:rFonts w:ascii="Times New Roman" w:hAnsi="Times New Roman"/>
              </w:rPr>
              <w:t>Riostra VR</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5.10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5.71</w:t>
            </w:r>
          </w:p>
        </w:tc>
      </w:tr>
      <w:tr>
        <w:tc>
          <w:tcPr>
            <w:tcW w:type="dxa" w:w="1768"/>
          </w:tcPr>
          <w:p>
            <w:pPr>
              <w:jc w:val="center"/>
            </w:pPr>
            <w:r/>
            <w:r>
              <w:rPr>
                <w:rFonts w:ascii="Times New Roman" w:hAnsi="Times New Roman"/>
                <w:b w:val="0"/>
                <w:i w:val="0"/>
                <w:sz w:val="18"/>
                <w:rFonts w:ascii="Times New Roman" w:hAnsi="Times New Roman"/>
              </w:rPr>
              <w:t>Vigueta</w:t>
            </w:r>
          </w:p>
        </w:tc>
        <w:tc>
          <w:tcPr>
            <w:tcW w:type="dxa" w:w="1768"/>
          </w:tcPr>
          <w:p>
            <w:pPr>
              <w:jc w:val="center"/>
            </w:pPr>
            <w:r/>
            <w:r>
              <w:rPr>
                <w:rFonts w:ascii="Times New Roman" w:hAnsi="Times New Roman"/>
                <w:b w:val="0"/>
                <w:i w:val="0"/>
                <w:sz w:val="18"/>
                <w:rFonts w:ascii="Times New Roman" w:hAnsi="Times New Roman"/>
              </w:rPr>
              <w:t>Nº 4</w:t>
            </w:r>
          </w:p>
        </w:tc>
        <w:tc>
          <w:tcPr>
            <w:tcW w:type="dxa" w:w="1768"/>
          </w:tcPr>
          <w:p>
            <w:pPr>
              <w:jc w:val="center"/>
            </w:pPr>
            <w:r/>
            <w:r>
              <w:rPr>
                <w:rFonts w:ascii="Times New Roman" w:hAnsi="Times New Roman"/>
                <w:b w:val="0"/>
                <w:i w:val="0"/>
                <w:sz w:val="18"/>
                <w:rFonts w:ascii="Times New Roman" w:hAnsi="Times New Roman"/>
              </w:rPr>
              <w:t>4.80</w:t>
            </w:r>
          </w:p>
        </w:tc>
        <w:tc>
          <w:tcPr>
            <w:tcW w:type="dxa" w:w="1768"/>
          </w:tcPr>
          <w:p>
            <w:pPr>
              <w:jc w:val="center"/>
            </w:pPr>
            <w:r/>
            <w:r>
              <w:rPr>
                <w:rFonts w:ascii="Times New Roman" w:hAnsi="Times New Roman"/>
                <w:b w:val="0"/>
                <w:i w:val="0"/>
                <w:sz w:val="18"/>
                <w:rFonts w:ascii="Times New Roman" w:hAnsi="Times New Roman"/>
              </w:rPr>
              <w:t>242</w:t>
            </w:r>
          </w:p>
        </w:tc>
        <w:tc>
          <w:tcPr>
            <w:tcW w:type="dxa" w:w="1768"/>
          </w:tcPr>
          <w:p>
            <w:pPr>
              <w:jc w:val="center"/>
            </w:pPr>
            <w:r/>
            <w:r>
              <w:rPr>
                <w:rFonts w:ascii="Times New Roman" w:hAnsi="Times New Roman"/>
                <w:b w:val="0"/>
                <w:i w:val="0"/>
                <w:sz w:val="18"/>
                <w:rFonts w:ascii="Times New Roman" w:hAnsi="Times New Roman"/>
              </w:rPr>
              <w:t>5.28</w:t>
            </w:r>
          </w:p>
        </w:tc>
      </w:tr>
    </w:tbl>
    <w:p>
      <w:pPr>
        <w:jc w:val="both"/>
      </w:pPr>
      <w:r>
        <w:rPr>
          <w:rFonts w:ascii="Times New Roman" w:hAnsi="Times New Roman"/>
          <w:b w:val="0"/>
          <w:i w:val="0"/>
          <w:sz w:val="24"/>
          <w:rFonts w:ascii="Times New Roman" w:hAnsi="Times New Roman"/>
        </w:rPr>
        <w:t>La separacion de los estribos se definio diferenciando la zona de confinamiento de la zona central, segun los requisitos para capacidad moderada de disipacion de energia. La zona de confinamiento se extiende una longitud igual a dos veces la altura del elemento desde la cara de cada apoyo, con una separacion igual a la cuarta parte de la altura efectiva; en la zona central la separacion es igual a la mitad de la altura efectiva. Los estribos son del numero 3, de dos ramas, con ganchos sismicos a ciento treinta y cinco grados.</w:t>
      </w:r>
    </w:p>
    <w:p>
      <w:pPr>
        <w:pStyle w:val="Descripcin"/>
      </w:pPr>
      <w:r>
        <w:rPr>
          <w:rFonts w:ascii="Times New Roman" w:hAnsi="Times New Roman"/>
          <w:b w:val="0"/>
          <w:i w:val="0"/>
          <w:sz w:val="20"/>
          <w:rFonts w:ascii="Times New Roman" w:hAnsi="Times New Roman"/>
        </w:rPr>
        <w:t>Tabla 65. Separacion de estribos y zonas de confinamiento.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Elemento</w:t>
            </w:r>
          </w:p>
        </w:tc>
        <w:tc>
          <w:tcPr>
            <w:tcW w:type="dxa" w:w="1473"/>
            <w:shd w:val="clear" w:fill="D9E1F2"/>
          </w:tcPr>
          <w:p>
            <w:pPr>
              <w:jc w:val="center"/>
            </w:pPr>
            <w:r/>
            <w:r>
              <w:rPr>
                <w:rFonts w:ascii="Times New Roman" w:hAnsi="Times New Roman"/>
                <w:b/>
                <w:i w:val="0"/>
                <w:sz w:val="18"/>
                <w:rFonts w:ascii="Times New Roman" w:hAnsi="Times New Roman"/>
              </w:rPr>
              <w:t>Altura efectiva d (mm)</w:t>
            </w:r>
          </w:p>
        </w:tc>
        <w:tc>
          <w:tcPr>
            <w:tcW w:type="dxa" w:w="1473"/>
            <w:shd w:val="clear" w:fill="D9E1F2"/>
          </w:tcPr>
          <w:p>
            <w:pPr>
              <w:jc w:val="center"/>
            </w:pPr>
            <w:r/>
            <w:r>
              <w:rPr>
                <w:rFonts w:ascii="Times New Roman" w:hAnsi="Times New Roman"/>
                <w:b/>
                <w:i w:val="0"/>
                <w:sz w:val="18"/>
                <w:rFonts w:ascii="Times New Roman" w:hAnsi="Times New Roman"/>
              </w:rPr>
              <w:t>Zona de confinamiento 2h (mm)</w:t>
            </w:r>
          </w:p>
        </w:tc>
        <w:tc>
          <w:tcPr>
            <w:tcW w:type="dxa" w:w="1473"/>
            <w:shd w:val="clear" w:fill="D9E1F2"/>
          </w:tcPr>
          <w:p>
            <w:pPr>
              <w:jc w:val="center"/>
            </w:pPr>
            <w:r/>
            <w:r>
              <w:rPr>
                <w:rFonts w:ascii="Times New Roman" w:hAnsi="Times New Roman"/>
                <w:b/>
                <w:i w:val="0"/>
                <w:sz w:val="18"/>
                <w:rFonts w:ascii="Times New Roman" w:hAnsi="Times New Roman"/>
              </w:rPr>
              <w:t>Separacion confinamiento, d/4 (mm)</w:t>
            </w:r>
          </w:p>
        </w:tc>
        <w:tc>
          <w:tcPr>
            <w:tcW w:type="dxa" w:w="1473"/>
            <w:shd w:val="clear" w:fill="D9E1F2"/>
          </w:tcPr>
          <w:p>
            <w:pPr>
              <w:jc w:val="center"/>
            </w:pPr>
            <w:r/>
            <w:r>
              <w:rPr>
                <w:rFonts w:ascii="Times New Roman" w:hAnsi="Times New Roman"/>
                <w:b/>
                <w:i w:val="0"/>
                <w:sz w:val="18"/>
                <w:rFonts w:ascii="Times New Roman" w:hAnsi="Times New Roman"/>
              </w:rPr>
              <w:t>Separacion central, d/2 (mm)</w:t>
            </w:r>
          </w:p>
        </w:tc>
        <w:tc>
          <w:tcPr>
            <w:tcW w:type="dxa" w:w="1473"/>
            <w:shd w:val="clear" w:fill="D9E1F2"/>
          </w:tcPr>
          <w:p>
            <w:pPr>
              <w:jc w:val="center"/>
            </w:pPr>
            <w:r/>
            <w:r>
              <w:rPr>
                <w:rFonts w:ascii="Times New Roman" w:hAnsi="Times New Roman"/>
                <w:b/>
                <w:i w:val="0"/>
                <w:sz w:val="18"/>
                <w:rFonts w:ascii="Times New Roman" w:hAnsi="Times New Roman"/>
              </w:rPr>
              <w:t>Longitud del estribo (mm)</w:t>
            </w:r>
          </w:p>
        </w:tc>
      </w:tr>
      <w:tr>
        <w:tc>
          <w:tcPr>
            <w:tcW w:type="dxa" w:w="1473"/>
          </w:tcPr>
          <w:p>
            <w:pPr>
              <w:jc w:val="center"/>
            </w:pPr>
            <w:r/>
            <w:r>
              <w:rPr>
                <w:rFonts w:ascii="Times New Roman" w:hAnsi="Times New Roman"/>
                <w:b w:val="0"/>
                <w:i w:val="0"/>
                <w:sz w:val="18"/>
                <w:rFonts w:ascii="Times New Roman" w:hAnsi="Times New Roman"/>
              </w:rPr>
              <w:t>Viga de carga VC</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1270</w:t>
            </w:r>
          </w:p>
        </w:tc>
      </w:tr>
      <w:tr>
        <w:tc>
          <w:tcPr>
            <w:tcW w:type="dxa" w:w="1473"/>
          </w:tcPr>
          <w:p>
            <w:pPr>
              <w:jc w:val="center"/>
            </w:pPr>
            <w:r/>
            <w:r>
              <w:rPr>
                <w:rFonts w:ascii="Times New Roman" w:hAnsi="Times New Roman"/>
                <w:b w:val="0"/>
                <w:i w:val="0"/>
                <w:sz w:val="18"/>
                <w:rFonts w:ascii="Times New Roman" w:hAnsi="Times New Roman"/>
              </w:rPr>
              <w:t>Riostra VR</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1370</w:t>
            </w:r>
          </w:p>
        </w:tc>
      </w:tr>
      <w:tr>
        <w:tc>
          <w:tcPr>
            <w:tcW w:type="dxa" w:w="1473"/>
          </w:tcPr>
          <w:p>
            <w:pPr>
              <w:jc w:val="center"/>
            </w:pPr>
            <w:r/>
            <w:r>
              <w:rPr>
                <w:rFonts w:ascii="Times New Roman" w:hAnsi="Times New Roman"/>
                <w:b w:val="0"/>
                <w:i w:val="0"/>
                <w:sz w:val="18"/>
                <w:rFonts w:ascii="Times New Roman" w:hAnsi="Times New Roman"/>
              </w:rPr>
              <w:t>Vigueta</w:t>
            </w:r>
          </w:p>
        </w:tc>
        <w:tc>
          <w:tcPr>
            <w:tcW w:type="dxa" w:w="1473"/>
          </w:tcPr>
          <w:p>
            <w:pPr>
              <w:jc w:val="center"/>
            </w:pPr>
            <w:r/>
            <w:r>
              <w:rPr>
                <w:rFonts w:ascii="Times New Roman" w:hAnsi="Times New Roman"/>
                <w:b w:val="0"/>
                <w:i w:val="0"/>
                <w:sz w:val="18"/>
                <w:rFonts w:ascii="Times New Roman" w:hAnsi="Times New Roman"/>
              </w:rPr>
              <w:t>304</w:t>
            </w:r>
          </w:p>
        </w:tc>
        <w:tc>
          <w:tcPr>
            <w:tcW w:type="dxa" w:w="1473"/>
          </w:tcPr>
          <w:p>
            <w:pPr>
              <w:jc w:val="center"/>
            </w:pPr>
            <w:r/>
            <w:r>
              <w:rPr>
                <w:rFonts w:ascii="Times New Roman" w:hAnsi="Times New Roman"/>
                <w:b w:val="0"/>
                <w:i w:val="0"/>
                <w:sz w:val="18"/>
                <w:rFonts w:ascii="Times New Roman" w:hAnsi="Times New Roman"/>
              </w:rPr>
              <w:t>680</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850</w:t>
            </w:r>
          </w:p>
        </w:tc>
      </w:tr>
    </w:tbl>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