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0"/>
        </w:rPr>
        <w:t>INFORME PEPI</w:t>
      </w:r>
    </w:p>
    <w:p>
      <w:pPr>
        <w:jc w:val="center"/>
      </w:pPr>
      <w:r>
        <w:rPr>
          <w:i/>
          <w:sz w:val="16"/>
        </w:rPr>
        <w:t>Optimización y ampliación del sistema de acueducto de la cabecera urbana de Tadó (Chocó)</w:t>
      </w:r>
    </w:p>
    <w:p>
      <w:pPr>
        <w:pStyle w:val="Heading1"/>
      </w:pPr>
      <w:r>
        <w:t>1. Resumen Ejecutivo</w:t>
      </w:r>
    </w:p>
    <w:p>
      <w:pPr>
        <w:jc w:val="both"/>
      </w:pPr>
      <w:r>
        <w:t>El proyecto busca garantizar agua potable continua (24 h), segura y con cobertura cercana al 98 %. Integra captación, PTAP de 45 L/s, almacenamiento, bombeo, redes sectorizadas, micromedición, fortalecimiento del operador y gestión ambiental.</w:t>
      </w:r>
    </w:p>
    <w:p>
      <w:pPr>
        <w:jc w:val="both"/>
      </w:pPr>
      <w:r>
        <w:t>El QMD es 41.47 L/s y la PTAP cubre ese máximo diario; el almacenamiento debe atender el QMH de 66.35 L/s. El CAPEX es COP 19.971,0 MM, con 80 % público, 10 % deuda y 10 % equity; WACC ajustado 9,315%.</w:t>
      </w:r>
    </w:p>
    <w:p>
      <w:pPr>
        <w:jc w:val="both"/>
      </w:pPr>
      <w:r>
        <w:t>Con tarifas, VPN proyecto = COP -15.486,8 MM y TIR = -2,45%. Para el inversionista, VPN = COP -730,3 MM y TIR = 10,46% frente a Ke 14 %. Socialmente, VPN = COP 19.625,7 MM y B/C = 1.558. Se justifica la cofinanciación pública, sujeta a validar diseños, tarifas, beneficios y riesgos.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c>
          <w:tcPr>
            <w:tcW w:type="dxa" w:w="2835"/>
            <w:shd w:fill="17365D"/>
          </w:tcPr>
          <w:p>
            <w:r>
              <w:rPr>
                <w:b/>
                <w:color w:val="FFFFFF"/>
                <w:sz w:val="14"/>
              </w:rPr>
              <w:t>Indicador</w:t>
            </w:r>
          </w:p>
        </w:tc>
        <w:tc>
          <w:tcPr>
            <w:tcW w:type="dxa" w:w="2835"/>
            <w:shd w:fill="17365D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4535"/>
            <w:shd w:fill="17365D"/>
          </w:tcPr>
          <w:p>
            <w:r>
              <w:rPr>
                <w:b/>
                <w:color w:val="FFFFFF"/>
                <w:sz w:val="14"/>
              </w:rPr>
              <w:t>Lectura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QMD/PTAP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41.47/45 L/s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4"/>
              </w:rPr>
              <w:t>Cumple QMD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CAPEX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19.971,0 MM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4"/>
              </w:rPr>
              <w:t>Referencia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VPN/TIR proyecto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-15.486,8/-2,45%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4"/>
              </w:rPr>
              <w:t>No viable solo tarifas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VPN/TIR inversionista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-730,3/10,46%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4"/>
              </w:rPr>
              <w:t>No alcanza Ke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VPN social/B-C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19.625,7/1.558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4"/>
              </w:rPr>
              <w:t>Socialmente viable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2. Árbol de Problemas</w:t>
      </w:r>
    </w:p>
    <w:p>
      <w:pPr>
        <w:jc w:val="center"/>
      </w:pPr>
      <w:r>
        <w:rPr>
          <w:i/>
          <w:sz w:val="16"/>
        </w:rPr>
        <w:t>Causas → problema → efectos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3999" cy="3974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397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Las causas técnicas, operativas, institucionales y climáticas convergen en discontinuidad y calidad no garantizada.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3. Árbol de Objetivos</w:t>
      </w:r>
    </w:p>
    <w:p>
      <w:pPr>
        <w:jc w:val="center"/>
      </w:pPr>
      <w:r>
        <w:rPr>
          <w:i/>
          <w:sz w:val="16"/>
        </w:rPr>
        <w:t>Medios → objetivo → fines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3999" cy="3974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tiv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3999" cy="397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t>Cada causa se transforma en un medio verificable y cada efecto negativo en un fin de salud, productividad y equidad.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4. Matriz de Marco Lógico</w:t>
      </w:r>
    </w:p>
    <w:p>
      <w:pPr>
        <w:jc w:val="center"/>
      </w:pPr>
      <w:r>
        <w:rPr>
          <w:rFonts w:ascii="Arial" w:hAnsi="Arial"/>
          <w:i/>
          <w:sz w:val="16"/>
        </w:rPr>
        <w:t>Cuatro filas y cuatro columnas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c>
          <w:tcPr>
            <w:tcW w:type="dxa" w:w="265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Nivel y resumen narrativo</w:t>
            </w:r>
          </w:p>
        </w:tc>
        <w:tc>
          <w:tcPr>
            <w:tcW w:type="dxa" w:w="265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Indicadores verificables</w:t>
            </w:r>
          </w:p>
        </w:tc>
        <w:tc>
          <w:tcPr>
            <w:tcW w:type="dxa" w:w="265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Medios de verificación</w:t>
            </w:r>
          </w:p>
        </w:tc>
        <w:tc>
          <w:tcPr>
            <w:tcW w:type="dxa" w:w="2650"/>
            <w:shd w:fill="17365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Supuestos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FIN — Mejorar salud, bienestar y equidad.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Menor EDA/gasto; mayor cobertura.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DANE, salud pública y SUI.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Estabilidad institucional.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PROPÓSITO — Agua potable continua y segura.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24 h; IRCA ≤ 5; cobertura ≈ 98 %.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SUI, registros operativos e IRCA.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Usuarios se conectan y pagan.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COMPONENTES — PTAP, tanques, redes, medición y operador.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45 L/s; IANC ≤ 25 %; medidores.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Actas, pruebas y catastro.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Energía, insumos y predios.</w:t>
            </w:r>
          </w:p>
        </w:tc>
      </w:tr>
      <w:tr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ACTIVIDADES — Diseños, permisos, obras, PMA y puesta en marcha.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Avance, hitos y capacitación.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Interventoría y presupuesto.</w:t>
            </w:r>
          </w:p>
        </w:tc>
        <w:tc>
          <w:tcPr>
            <w:tcW w:type="dxa" w:w="2650"/>
            <w:vAlign w:val="center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4"/>
              </w:rPr>
              <w:t>Desembolsos y seguridad.</w:t>
            </w:r>
          </w:p>
        </w:tc>
      </w:tr>
    </w:tbl>
    <w:p>
      <w:pPr>
        <w:pStyle w:val="Heading2"/>
      </w:pPr>
      <w:r>
        <w:t>Cadena causal</w:t>
      </w:r>
    </w:p>
    <w:p>
      <w:pPr>
        <w:pStyle w:val="ListBullet"/>
        <w:spacing w:after="20"/>
      </w:pPr>
      <w:r>
        <w:t>Actividades + supuestos → componentes → propósito → fin.</w:t>
      </w:r>
    </w:p>
    <w:p>
      <w:pPr>
        <w:pStyle w:val="ListBullet"/>
        <w:spacing w:after="20"/>
      </w:pPr>
      <w:r>
        <w:t>Cada indicador debe tener línea base, meta, frecuencia, responsable y evidencia.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5. Solución de Ingeniería Propuesta</w:t>
      </w:r>
    </w:p>
    <w:p>
      <w:pPr>
        <w:jc w:val="center"/>
      </w:pPr>
      <w:r>
        <w:rPr>
          <w:i/>
          <w:sz w:val="16"/>
        </w:rPr>
        <w:t>Máximo una página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c>
          <w:tcPr>
            <w:tcW w:type="dxa" w:w="2835"/>
            <w:shd w:fill="17365D"/>
          </w:tcPr>
          <w:p>
            <w:r>
              <w:rPr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3969"/>
            <w:shd w:fill="17365D"/>
          </w:tcPr>
          <w:p>
            <w:r>
              <w:rPr>
                <w:b/>
                <w:color w:val="FFFFFF"/>
                <w:sz w:val="14"/>
              </w:rPr>
              <w:t>Fórmula</w:t>
            </w:r>
          </w:p>
        </w:tc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Población diseño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4"/>
              </w:rPr>
              <w:t>10.957(1+1,2%)²⁵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14764 hab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Dotación bruta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4"/>
              </w:rPr>
              <w:t>140/(1−25%)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186.67 L/hab·día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Qmd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4"/>
              </w:rPr>
              <w:t>P×Db/86.400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31.90 L/s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QMD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4"/>
              </w:rPr>
              <w:t>Qmd×1,30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41.47 L/s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QMH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4"/>
              </w:rPr>
              <w:t>QMD×1,60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66.35 L/s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4"/>
              </w:rPr>
              <w:t>PTAP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4"/>
              </w:rPr>
              <w:t>Adoptada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45 L/s</w:t>
            </w:r>
          </w:p>
        </w:tc>
      </w:tr>
    </w:tbl>
    <w:p>
      <w:pPr>
        <w:pStyle w:val="ListBullet"/>
        <w:spacing w:after="20"/>
      </w:pPr>
      <w:r>
        <w:t>Captación protegida, rejillas, desarenado, aducción y válvulas.</w:t>
      </w:r>
    </w:p>
    <w:p>
      <w:pPr>
        <w:pStyle w:val="ListBullet"/>
        <w:spacing w:after="20"/>
      </w:pPr>
      <w:r>
        <w:t>PTAP: coagulación, floculación, sedimentación, filtración, desinfección y monitoreo de turbiedad/mercurio.</w:t>
      </w:r>
    </w:p>
    <w:p>
      <w:pPr>
        <w:pStyle w:val="ListBullet"/>
        <w:spacing w:after="20"/>
      </w:pPr>
      <w:r>
        <w:t>Almacenamiento para balance horario; bombeo redundante y respaldo eléctrico.</w:t>
      </w:r>
    </w:p>
    <w:p>
      <w:pPr>
        <w:pStyle w:val="ListBullet"/>
        <w:spacing w:after="20"/>
      </w:pPr>
      <w:r>
        <w:t>Redes rehabilitadas y sectorizadas, control de presiones, macro y micromedición.</w:t>
      </w:r>
    </w:p>
    <w:p>
      <w:pPr>
        <w:pStyle w:val="ListBullet"/>
        <w:spacing w:after="20"/>
      </w:pPr>
      <w:r>
        <w:t>Operador fortalecido, mantenimiento, gestión comercial, emergencias y PMA.</w:t>
      </w:r>
    </w:p>
    <w:p>
      <w:pPr>
        <w:jc w:val="both"/>
      </w:pPr>
      <w:r>
        <w:t>La PTAP supera el QMD, pero QMH &gt; 45 L/s: el diseño definitivo debe dimensionar tanques, bombeo y redes con balance horario.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6. CAPEX, OPEX, Financiación y WACC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c>
          <w:tcPr>
            <w:tcW w:type="dxa" w:w="6803"/>
            <w:shd w:fill="17365D"/>
          </w:tcPr>
          <w:p>
            <w:r>
              <w:rPr>
                <w:b/>
                <w:color w:val="FFFFFF"/>
                <w:sz w:val="13"/>
              </w:rPr>
              <w:t>Capítulo</w:t>
            </w:r>
          </w:p>
        </w:tc>
        <w:tc>
          <w:tcPr>
            <w:tcW w:type="dxa" w:w="1984"/>
            <w:shd w:fill="17365D"/>
          </w:tcPr>
          <w:p>
            <w:r>
              <w:rPr>
                <w:b/>
                <w:color w:val="FFFFFF"/>
                <w:sz w:val="13"/>
              </w:rPr>
              <w:t>COP MM</w:t>
            </w:r>
          </w:p>
        </w:tc>
        <w:tc>
          <w:tcPr>
            <w:tcW w:type="dxa" w:w="1417"/>
            <w:shd w:fill="17365D"/>
          </w:tcPr>
          <w:p>
            <w:r>
              <w:rPr>
                <w:b/>
                <w:color w:val="FFFFFF"/>
                <w:sz w:val="13"/>
              </w:rPr>
              <w:t>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Captación (bocatoma) y línea de aducción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2.400,0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12,02%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PTAP 45 L/s (obra civil + equipos)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6.300,0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31,55%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Almacenamiento (tanques) y estaciones de bombeo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2.800,0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14,02%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Redes de distribución, conexiones y micromedición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4.200,0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21,03%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Optimización del alcantarillado (componente asociado)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2.471,0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12,37%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Estudios, diseños, interventoría y gestión ambiental/social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1.800,0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9,01%</w:t>
            </w:r>
          </w:p>
        </w:tc>
      </w:tr>
      <w:tr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sz w:val="13"/>
              </w:rPr>
              <w:t>TOTAL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3"/>
              </w:rPr>
              <w:t>19.971,0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100 %</w:t>
            </w:r>
          </w:p>
        </w:tc>
      </w:tr>
    </w:tbl>
    <w:p>
      <w:pPr>
        <w:pStyle w:val="Heading2"/>
      </w:pPr>
      <w:r>
        <w:t>OPEX</w:t>
      </w:r>
    </w:p>
    <w:p>
      <w:r>
        <w:t>Año 1: COP 1.150,0 MM; crece 3,50% anual. Incluye personal, energía, químicos, laboratorio, mantenimiento, administración y gestión comercial.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4"/>
              </w:rPr>
              <w:t>Fuente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Participación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Monto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Costo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Público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80 %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15.976,8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9 %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Deuda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10 %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1.997,1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11 %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4"/>
              </w:rPr>
              <w:t>Equity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10 %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1.997,1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14 %</w:t>
            </w:r>
          </w:p>
        </w:tc>
      </w:tr>
    </w:tbl>
    <w:p>
      <w:pPr>
        <w:jc w:val="center"/>
      </w:pPr>
      <w:r>
        <w:rPr>
          <w:rFonts w:ascii="Arial" w:hAnsi="Arial"/>
          <w:b/>
          <w:sz w:val="16"/>
        </w:rPr>
        <w:t>WACC = 80%×9% + 10%×11%×(1−35%) + 10%×14% = 9,315%. Cuota de deuda = COP 339,1 MM/año por 10 años. Todas las tasas y los flujos monetarios se modelan en términos nominales.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7. Viabilidad Financiera y Económica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Evaluación</w:t>
            </w:r>
          </w:p>
        </w:tc>
        <w:tc>
          <w:tcPr>
            <w:tcW w:type="dxa" w:w="1701"/>
            <w:shd w:fill="17365D"/>
          </w:tcPr>
          <w:p>
            <w:r>
              <w:rPr>
                <w:b/>
                <w:color w:val="FFFFFF"/>
                <w:sz w:val="14"/>
              </w:rPr>
              <w:t>Tasa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VPN</w:t>
            </w:r>
          </w:p>
        </w:tc>
        <w:tc>
          <w:tcPr>
            <w:tcW w:type="dxa" w:w="1984"/>
            <w:shd w:fill="17365D"/>
          </w:tcPr>
          <w:p>
            <w:r>
              <w:rPr>
                <w:b/>
                <w:color w:val="FFFFFF"/>
                <w:sz w:val="14"/>
              </w:rPr>
              <w:t>TIR/B-C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Proyecto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4"/>
              </w:rPr>
              <w:t>9,315%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-15.486,8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4"/>
              </w:rPr>
              <w:t>-2,45%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viable solo tarifas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Inversionista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4"/>
              </w:rPr>
              <w:t>14 %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-730,3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4"/>
              </w:rPr>
              <w:t>10,46%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alcanza Ke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Banco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4"/>
              </w:rPr>
              <w:t>11 %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4"/>
              </w:rPr>
              <w:t>11,00%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Concilia Kd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Social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4"/>
              </w:rPr>
              <w:t>9 %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19.625,7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4"/>
              </w:rPr>
              <w:t>B/C 1.558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Viable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2120"/>
        <w:gridCol w:w="2120"/>
        <w:gridCol w:w="2120"/>
        <w:gridCol w:w="2120"/>
      </w:tblGrid>
      <w:tr>
        <w:tc>
          <w:tcPr>
            <w:tcW w:type="dxa" w:w="1134"/>
            <w:shd w:fill="17365D"/>
          </w:tcPr>
          <w:p>
            <w:r>
              <w:rPr>
                <w:b/>
                <w:color w:val="FFFFFF"/>
                <w:sz w:val="14"/>
              </w:rPr>
              <w:t>Año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FC Proyecto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FC Inversionista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FC Banco</w:t>
            </w:r>
          </w:p>
        </w:tc>
        <w:tc>
          <w:tcPr>
            <w:tcW w:type="dxa" w:w="2268"/>
            <w:shd w:fill="17365D"/>
          </w:tcPr>
          <w:p>
            <w:r>
              <w:rPr>
                <w:b/>
                <w:color w:val="FFFFFF"/>
                <w:sz w:val="14"/>
              </w:rPr>
              <w:t>FC Social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-19.971,0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-1.997,1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-1.997,1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-19.971,0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350,0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10,9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339,1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3.000,0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401,6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62,5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339,1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3.442,6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477,0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137,9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339,1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4.088,7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566,5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566,5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0,0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4.856,1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672,9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672,9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0,0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5.767,5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799,1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799,1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0,0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4"/>
              </w:rPr>
              <w:t>6.850,0</w:t>
            </w:r>
          </w:p>
        </w:tc>
      </w:tr>
    </w:tbl>
    <w:p>
      <w:pPr>
        <w:pStyle w:val="ListBullet"/>
        <w:spacing w:after="20"/>
      </w:pPr>
      <w:r>
        <w:t>Proyecto: CAPEX y flujo operativo después de impuesto.</w:t>
      </w:r>
    </w:p>
    <w:p>
      <w:pPr>
        <w:pStyle w:val="ListBullet"/>
        <w:spacing w:after="20"/>
      </w:pPr>
      <w:r>
        <w:t>Inversionista: equity y flujo después de deuda e impuesto.</w:t>
      </w:r>
    </w:p>
    <w:p>
      <w:pPr>
        <w:pStyle w:val="ListBullet"/>
        <w:spacing w:after="20"/>
      </w:pPr>
      <w:r>
        <w:t>Banco: desembolso negativo en t0 y cobros positivos; TIR = Kd.</w:t>
      </w:r>
    </w:p>
    <w:p>
      <w:pPr>
        <w:pStyle w:val="ListBullet"/>
        <w:spacing w:after="20"/>
      </w:pPr>
      <w:r>
        <w:t>Social: CAPEX y beneficio bruto menos OPEX; deuda/tarifas son transferencias.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8. Matriz de Riesgos (20)</w:t>
      </w:r>
    </w:p>
    <w:p>
      <w:pPr>
        <w:jc w:val="center"/>
      </w:pPr>
      <w:r>
        <w:rPr>
          <w:i/>
          <w:sz w:val="16"/>
        </w:rPr>
        <w:t>P e I: 1–5 | Bajo 1–6 | Medio 8–12 | Alto 15–25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397"/>
            <w:shd w:fill="17365D"/>
          </w:tcPr>
          <w:p>
            <w:r>
              <w:rPr>
                <w:b/>
                <w:color w:val="FFFFFF"/>
                <w:sz w:val="12"/>
              </w:rPr>
              <w:t>#</w:t>
            </w:r>
          </w:p>
        </w:tc>
        <w:tc>
          <w:tcPr>
            <w:tcW w:type="dxa" w:w="4762"/>
            <w:shd w:fill="17365D"/>
          </w:tcPr>
          <w:p>
            <w:r>
              <w:rPr>
                <w:b/>
                <w:color w:val="FFFFFF"/>
                <w:sz w:val="12"/>
              </w:rPr>
              <w:t>Riesgo</w:t>
            </w:r>
          </w:p>
        </w:tc>
        <w:tc>
          <w:tcPr>
            <w:tcW w:type="dxa" w:w="1474"/>
            <w:shd w:fill="17365D"/>
          </w:tcPr>
          <w:p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type="dxa" w:w="624"/>
            <w:shd w:fill="17365D"/>
          </w:tcPr>
          <w:p>
            <w:r>
              <w:rPr>
                <w:b/>
                <w:color w:val="FFFFFF"/>
                <w:sz w:val="12"/>
              </w:rPr>
              <w:t>P</w:t>
            </w:r>
          </w:p>
        </w:tc>
        <w:tc>
          <w:tcPr>
            <w:tcW w:type="dxa" w:w="624"/>
            <w:shd w:fill="17365D"/>
          </w:tcPr>
          <w:p>
            <w:r>
              <w:rPr>
                <w:b/>
                <w:color w:val="FFFFFF"/>
                <w:sz w:val="12"/>
              </w:rPr>
              <w:t>I</w:t>
            </w:r>
          </w:p>
        </w:tc>
        <w:tc>
          <w:tcPr>
            <w:tcW w:type="dxa" w:w="794"/>
            <w:shd w:fill="17365D"/>
          </w:tcPr>
          <w:p>
            <w:r>
              <w:rPr>
                <w:b/>
                <w:color w:val="FFFFFF"/>
                <w:sz w:val="12"/>
              </w:rPr>
              <w:t>P×I</w:t>
            </w:r>
          </w:p>
        </w:tc>
        <w:tc>
          <w:tcPr>
            <w:tcW w:type="dxa" w:w="1020"/>
            <w:shd w:fill="17365D"/>
          </w:tcPr>
          <w:p>
            <w:r>
              <w:rPr>
                <w:b/>
                <w:color w:val="FFFFFF"/>
                <w:sz w:val="12"/>
              </w:rPr>
              <w:t>Nivel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Sobrecostos en la construcción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Financiero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Alto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Retrasos en el cronograma de obra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Operativo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Demoras en gestión predial y servidumbres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Legal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Insuficiencia/retraso del aporte público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Financiero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Alto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Incremento de tasas de interés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Financiero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Recaudo tarifario inferior al proyectado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Comercial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Alto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7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Cambios regulatorios del marco tarifario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Regulatorio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Alta turbiedad/mercurio del río San Juan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Alto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Inundaciones por lluvias extremas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Alto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Disposición inadecuada de lodos PTAP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Aguas de lavado vertidas sin tratar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Afectación de fauna y flora en obras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13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Fallas de equipos de bombeo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Operativo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14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Interrupción del suministro eléctrico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Operativo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Accidentes laborales en obra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SST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Dificultad logística y de acceso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Operativo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17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Alteraciones de orden público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Social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18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Errores en estudios y diseños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Técnico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19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Incumplimiento del contratista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Contractual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0"/>
            </w:pPr>
            <w:r>
              <w:rPr>
                <w:sz w:val="12"/>
              </w:rPr>
              <w:t>20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sz w:val="12"/>
              </w:rPr>
              <w:t>Inflación de costos operativos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sz w:val="12"/>
              </w:rPr>
              <w:t>Financiero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2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</w:tbl>
    <w:p>
      <w:pPr>
        <w:jc w:val="both"/>
      </w:pPr>
      <w:r>
        <w:rPr>
          <w:rFonts w:ascii="Arial" w:hAnsi="Arial"/>
          <w:sz w:val="13"/>
        </w:rPr>
        <w:t>Escalas: P1 &lt;5 %, P2 5–20 %, P3 21–40 %, P4 41–70 % y P5 &gt;70 %. I1 menor, I2 bajo, I3 moderado, I4 mayor e I5 crítico según costo, plazo, ambiente, servicio o SST. Prioridad: sobrecostos, aporte público, recaudo, turbiedad/mercurio e inundaciones. Cada riesgo requiere propietario, fecha, presupuesto y alerta.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9. Intervención de 10 Riesgos</w:t>
      </w:r>
    </w:p>
    <w:p>
      <w:pPr>
        <w:jc w:val="center"/>
      </w:pPr>
      <w:r>
        <w:rPr>
          <w:i/>
          <w:sz w:val="16"/>
        </w:rPr>
        <w:t>Exactamente cinco ambientales, con recalificación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40"/>
            <w:shd w:fill="17365D"/>
          </w:tcPr>
          <w:p>
            <w:r>
              <w:rPr>
                <w:b/>
                <w:color w:val="FFFFFF"/>
                <w:sz w:val="12"/>
              </w:rPr>
              <w:t>#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2"/>
              </w:rPr>
              <w:t>Riesgo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2"/>
              </w:rPr>
              <w:t>Tipo</w:t>
            </w:r>
          </w:p>
        </w:tc>
        <w:tc>
          <w:tcPr>
            <w:tcW w:type="dxa" w:w="4252"/>
            <w:shd w:fill="17365D"/>
          </w:tcPr>
          <w:p>
            <w:r>
              <w:rPr>
                <w:b/>
                <w:color w:val="FFFFFF"/>
                <w:sz w:val="12"/>
              </w:rPr>
              <w:t>Intervención</w:t>
            </w:r>
          </w:p>
        </w:tc>
        <w:tc>
          <w:tcPr>
            <w:tcW w:type="dxa" w:w="454"/>
            <w:shd w:fill="17365D"/>
          </w:tcPr>
          <w:p>
            <w:r>
              <w:rPr>
                <w:b/>
                <w:color w:val="FFFFFF"/>
                <w:sz w:val="12"/>
              </w:rPr>
              <w:t>Pr</w:t>
            </w:r>
          </w:p>
        </w:tc>
        <w:tc>
          <w:tcPr>
            <w:tcW w:type="dxa" w:w="454"/>
            <w:shd w:fill="17365D"/>
          </w:tcPr>
          <w:p>
            <w:r>
              <w:rPr>
                <w:b/>
                <w:color w:val="FFFFFF"/>
                <w:sz w:val="12"/>
              </w:rPr>
              <w:t>Ir</w:t>
            </w:r>
          </w:p>
        </w:tc>
        <w:tc>
          <w:tcPr>
            <w:tcW w:type="dxa" w:w="680"/>
            <w:shd w:fill="17365D"/>
          </w:tcPr>
          <w:p>
            <w:r>
              <w:rPr>
                <w:b/>
                <w:color w:val="FFFFFF"/>
                <w:sz w:val="12"/>
              </w:rPr>
              <w:t>Pr×Ir</w:t>
            </w:r>
          </w:p>
        </w:tc>
        <w:tc>
          <w:tcPr>
            <w:tcW w:type="dxa" w:w="907"/>
            <w:shd w:fill="17365D"/>
          </w:tcPr>
          <w:p>
            <w:r>
              <w:rPr>
                <w:b/>
                <w:color w:val="FFFFFF"/>
                <w:sz w:val="12"/>
              </w:rPr>
              <w:t>Nivel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Sobrecostos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Financiero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Precios/alcance definidos, contingencia 10 % y control de cambios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 recaudo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Comercial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Micromedición, educación, subsidios y gestión de cartera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Aporte público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Financiero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Cierre previo y desembolsos por hitos mediante fiducia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Turbiedad/mercurio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Pretratamiento robusto, dosificación y monitoreo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8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Medio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9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Inundaciones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Cotas seguras, drenajes y plan de continuidad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Lodos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Espesamiento, secado y disposición autorizada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11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Aguas de lavado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Recirculación, tratamiento y permiso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Fauna/flora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Ambiental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PMA, rescate y compensación forestal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16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Logística/acceso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Operativo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Acopio preventivo y holguras por lluvias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after="0"/>
            </w:pPr>
            <w:r>
              <w:rPr>
                <w:sz w:val="12"/>
              </w:rPr>
              <w:t>15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sz w:val="12"/>
              </w:rPr>
              <w:t>Accidentes</w:t>
            </w:r>
          </w:p>
        </w:tc>
        <w:tc>
          <w:tcPr>
            <w:tcW w:type="dxa" w:w="1077"/>
            <w:vAlign w:val="center"/>
          </w:tcPr>
          <w:p>
            <w:pPr>
              <w:spacing w:after="0"/>
            </w:pPr>
            <w:r>
              <w:rPr>
                <w:sz w:val="12"/>
              </w:rPr>
              <w:t>SST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>
              <w:rPr>
                <w:sz w:val="12"/>
              </w:rPr>
              <w:t>SG-SST, EPP, permisos e inspecciones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1</w:t>
            </w:r>
          </w:p>
        </w:tc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>
              <w:rPr>
                <w:sz w:val="12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>
              <w:rPr>
                <w:sz w:val="12"/>
              </w:rPr>
              <w:t>Bajo</w:t>
            </w:r>
          </w:p>
        </w:tc>
      </w:tr>
    </w:tbl>
    <w:p>
      <w:pPr>
        <w:pStyle w:val="ListBullet"/>
        <w:spacing w:after="20"/>
      </w:pPr>
      <w:r>
        <w:t>Ambientales intervenidos: 8, 9, 10, 11 y 12.</w:t>
      </w:r>
    </w:p>
    <w:p>
      <w:pPr>
        <w:pStyle w:val="ListBullet"/>
        <w:spacing w:after="20"/>
      </w:pPr>
      <w:r>
        <w:t>La recalificación supone implementación completa; no es reducción automática.</w:t>
      </w:r>
    </w:p>
    <w:p>
      <w:pPr>
        <w:pStyle w:val="ListBullet"/>
        <w:spacing w:after="20"/>
      </w:pPr>
      <w:r>
        <w:t>Monitorear turbiedad, mercurio, recaudo, desviación presupuestal, incidentes SST e hitos.</w:t>
      </w:r>
    </w:p>
    <w:p>
      <w:r>
        <w:br w:type="page"/>
      </w:r>
    </w:p>
    <w:p>
      <w:pPr>
        <w:jc w:val="center"/>
      </w:pPr>
      <w:r>
        <w:rPr>
          <w:b/>
          <w:color w:val="17365D"/>
          <w:sz w:val="30"/>
        </w:rPr>
        <w:t>10. Conclusiones, Recomendaciones y Fuentes</w:t>
      </w:r>
    </w:p>
    <w:p>
      <w:pPr>
        <w:pStyle w:val="Heading2"/>
      </w:pPr>
      <w:r>
        <w:t>Conclusiones</w:t>
      </w:r>
    </w:p>
    <w:p>
      <w:pPr>
        <w:pStyle w:val="ListBullet"/>
        <w:spacing w:after="20"/>
      </w:pPr>
      <w:r>
        <w:t>Técnica: QMD 41.47 L/s &lt; PTAP 45 L/s; QMH 66.35 exige almacenamiento.</w:t>
      </w:r>
    </w:p>
    <w:p>
      <w:pPr>
        <w:pStyle w:val="ListBullet"/>
        <w:spacing w:after="20"/>
      </w:pPr>
      <w:r>
        <w:t>Financiera: VPN proyecto COP -15.486,8 MM y TIR -2,45%; no remunera la inversión.</w:t>
      </w:r>
    </w:p>
    <w:p>
      <w:pPr>
        <w:pStyle w:val="ListBullet"/>
        <w:spacing w:after="20"/>
      </w:pPr>
      <w:r>
        <w:t>Inversionista: TIR 10,46% &lt; Ke 14 %; se requiere mayor aporte o mejor desempeño.</w:t>
      </w:r>
    </w:p>
    <w:p>
      <w:pPr>
        <w:pStyle w:val="ListBullet"/>
        <w:spacing w:after="20"/>
      </w:pPr>
      <w:r>
        <w:t>Social: VPN COP 19.625,7 MM y B/C 1.558; validar monetización.</w:t>
      </w:r>
    </w:p>
    <w:p>
      <w:pPr>
        <w:pStyle w:val="ListBullet"/>
        <w:spacing w:after="20"/>
      </w:pPr>
      <w:r>
        <w:t>Riesgos: gestionar fuente, inundaciones, costos, desembolsos, recaudo y operación.</w:t>
      </w:r>
    </w:p>
    <w:p>
      <w:pPr>
        <w:pStyle w:val="Heading2"/>
      </w:pPr>
      <w:r>
        <w:t>Recomendaciones</w:t>
      </w:r>
    </w:p>
    <w:p>
      <w:pPr>
        <w:pStyle w:val="ListBullet"/>
        <w:spacing w:after="20"/>
      </w:pPr>
      <w:r>
        <w:t>Actualizar población, demanda, calidad de fuente y modelo hidráulico.</w:t>
      </w:r>
    </w:p>
    <w:p>
      <w:pPr>
        <w:pStyle w:val="ListBullet"/>
        <w:spacing w:after="20"/>
      </w:pPr>
      <w:r>
        <w:t>Completar diseños, APU, contingencias, permisos y estudio tarifario.</w:t>
      </w:r>
    </w:p>
    <w:p>
      <w:pPr>
        <w:pStyle w:val="ListBullet"/>
        <w:spacing w:after="20"/>
      </w:pPr>
      <w:r>
        <w:t>Hacer sensibilidad de CAPEX, OPEX, demanda, retrasos y tasas.</w:t>
      </w:r>
    </w:p>
    <w:p>
      <w:pPr>
        <w:pStyle w:val="Heading2"/>
      </w:pPr>
      <w:r>
        <w:t>Fuentes</w:t>
      </w:r>
    </w:p>
    <w:p>
      <w:pPr>
        <w:pStyle w:val="ListBullet"/>
        <w:spacing w:after="20"/>
      </w:pPr>
      <w:r>
        <w:t>Enunciado PROYECTO PEPI.pdf.</w:t>
      </w:r>
    </w:p>
    <w:p>
      <w:pPr>
        <w:pStyle w:val="ListBullet"/>
        <w:spacing w:after="20"/>
      </w:pPr>
      <w:r>
        <w:t>Resolución 0330 de 2017 — RAS.</w:t>
      </w:r>
    </w:p>
    <w:p>
      <w:pPr>
        <w:pStyle w:val="ListBullet"/>
        <w:spacing w:after="20"/>
      </w:pPr>
      <w:r>
        <w:t>Resolución 2115 de 2007 — calidad de agua e IRCA.</w:t>
      </w:r>
    </w:p>
    <w:p>
      <w:pPr>
        <w:pStyle w:val="ListBullet"/>
        <w:spacing w:after="20"/>
      </w:pPr>
      <w:r>
        <w:t>DNP — metodología y tasa social adoptada 9 %.</w:t>
      </w:r>
    </w:p>
    <w:p>
      <w:pPr>
        <w:pStyle w:val="ListBullet"/>
        <w:spacing w:after="20"/>
      </w:pPr>
      <w:r>
        <w:t>MODELO FINANCIERO PEPI (4).xlsx — fórmulas, flujos y controles.</w:t>
      </w:r>
    </w:p>
    <w:p>
      <w:r>
        <w:rPr>
          <w:i/>
        </w:rPr>
        <w:t>Cifras de referencia académica; no sustituyen estudios, diseños, presupuesto oficial ni evaluación ambiental/legal.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652" w:bottom="652" w:left="65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Acueducto de Tadó | Página </w:t>
    </w:r>
    <w:fldSimple w:instr="PAGE"/>
    <w: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4"/>
      </w:rPr>
      <w:t>PREPARACIÓN Y EVALUACIÓN DE PROYECTOS DE INGENIERÍA — PEPI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