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6"/>
        </w:rPr>
        <w:t>INFORME DE PREPARACIÓN Y EVALUACIÓN</w:t>
        <w:br/>
        <w:t>DE PROYECTOS DE INGENIERÍA (PEPI)</w:t>
      </w:r>
    </w:p>
    <w:p>
      <w:pPr>
        <w:jc w:val="center"/>
      </w:pPr>
      <w:r>
        <w:rPr>
          <w:color w:val="595959"/>
          <w:sz w:val="26"/>
        </w:rPr>
        <w:t>Optimización y ampliación del sistema de acueducto</w:t>
        <w:br/>
        <w:t>del municipio de Tadó (Chocó)</w:t>
      </w:r>
    </w:p>
    <w:p/>
    <w:p>
      <w:pPr>
        <w:jc w:val="center"/>
      </w:pPr>
      <w:r>
        <w:rPr>
          <w:i/>
          <w:sz w:val="18"/>
        </w:rPr>
        <w:t>Caso real. Cifras monetarias en millones de pesos colombianos (COP MM) salvo indicación contraria.</w:t>
      </w:r>
    </w:p>
    <w:p/>
    <w:p>
      <w:pPr>
        <w:pStyle w:val="Heading1"/>
      </w:pPr>
      <w:r>
        <w:rPr>
          <w:color w:val="1F4E79"/>
          <w:sz w:val="30"/>
        </w:rPr>
        <w:t>1. Resumen Ejecutivo</w:t>
      </w:r>
    </w:p>
    <w:p>
      <w:pPr>
        <w:jc w:val="both"/>
      </w:pPr>
      <w:r>
        <w:rPr>
          <w:i w:val="0"/>
          <w:sz w:val="22"/>
        </w:rPr>
        <w:t>Tadó es un municipio del occidente del Chocó, situado sobre el río San Juan, con 17.000 habitantes según el Censo Nacional de Población y Vivienda 2018 (DANE) y uno de los regímenes de lluvia más altos del planeta (~7.900 mm/año). Pese a esa abundancia de agua, la población ha carecido históricamente de agua potable continua y de calidad: baja cobertura, discontinuidad en el servicio y un tratamiento insuficiente frente a la alta turbiedad del agua cruda durante las crecientes.</w:t>
      </w:r>
    </w:p>
    <w:p>
      <w:pPr>
        <w:jc w:val="both"/>
      </w:pPr>
      <w:r>
        <w:rPr>
          <w:i w:val="0"/>
          <w:sz w:val="22"/>
        </w:rPr>
        <w:t>El proyecto consiste en optimizar y ampliar el sistema de acueducto de la cabecera urbana —incluida una PTAP dimensionada para 45 L/s según la Resolución 0330 de 2017 (RAS)— para alcanzar continuidad 24 horas y cobertura cercana al 98 %, en línea con el proyecto real ejecutado por el Ministerio de Vivienda (MinVivienda) con cooperación española, cuya inversión fue de COP 19.971 millones.</w:t>
      </w:r>
    </w:p>
    <w:p>
      <w:pPr>
        <w:jc w:val="both"/>
      </w:pPr>
      <w:r>
        <w:rPr>
          <w:i w:val="0"/>
          <w:sz w:val="22"/>
        </w:rPr>
        <w:t>Como ocurre con casi todos los acueductos municipales pequeños en Colombia, el proyecto NO es rentable solo con tarifas (VPN financiero negativo). Su justificación es socioeconómica: con la tasa social del 9 % (DNP) el VPN es ampliamente positivo y la relación beneficio/costo es 1,56. Por eso se cofinancia con recursos públicos (SGR, Plan Departamental de Aguas, SGP y cooperación), exactamente como sucedió en Tadó.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Caudal de diseño (QMD, Res. 0330)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20"/>
              </w:rPr>
              <w:t>41,5 L/s → PTAP de 45 L/s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CAPEX total (anclado a inversión real)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20"/>
              </w:rPr>
              <w:t>COP 19.971 MM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Estructura de financiación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20"/>
              </w:rPr>
              <w:t>80 % público / 10 % deuda / 10 % equity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WACC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20"/>
              </w:rPr>
              <w:t>9,31 %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VPN del proyecto (solo tarifas) @WACC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20"/>
              </w:rPr>
              <w:t>−15.487 MM (negativo)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TIR del inversionista (con aporte público)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20"/>
              </w:rPr>
              <w:t>10,46 %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VPN socioeconómico @ tasa social 9 % (DNP)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20"/>
              </w:rPr>
              <w:t>+19.626 MM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Relación Beneficio/Costo (social)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20"/>
              </w:rPr>
              <w:t>1,56</w:t>
            </w:r>
          </w:p>
        </w:tc>
      </w:tr>
    </w:tbl>
    <w:p/>
    <w:p>
      <w:pPr>
        <w:pStyle w:val="Heading1"/>
      </w:pPr>
      <w:r>
        <w:rPr>
          <w:color w:val="1F4E79"/>
          <w:sz w:val="30"/>
        </w:rPr>
        <w:t>2. Árbol de Problemas</w:t>
      </w:r>
    </w:p>
    <w:p>
      <w:pPr>
        <w:jc w:val="both"/>
      </w:pPr>
      <w:r>
        <w:rPr>
          <w:i w:val="0"/>
          <w:sz w:val="22"/>
        </w:rPr>
        <w:t>Problema central: servicio de acueducto deficiente, discontinuo y con agua no apta en la cabecera de Tadó, pese a estar en una de las zonas más lluviosas del planeta. Los efectos se ubican en la parte superior y las causas en la parte inferior.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25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_problem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5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4E79"/>
          <w:sz w:val="30"/>
        </w:rPr>
        <w:t>3. Árbol de Objetivos</w:t>
      </w:r>
    </w:p>
    <w:p>
      <w:pPr>
        <w:jc w:val="both"/>
      </w:pPr>
      <w:r>
        <w:rPr>
          <w:i w:val="0"/>
          <w:sz w:val="22"/>
        </w:rPr>
        <w:t>Objetivo central: garantizar agua potable continua (24 h) y de calidad para la población de la cabecera de Tadó. Es el espejo positivo del árbol de problemas: cada causa se convierte en un medio y cada efecto en un fin.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250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_objetiv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5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4E79"/>
          <w:sz w:val="30"/>
        </w:rPr>
        <w:t>4. Matriz de Marco Lógico (MML)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Nivel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Resumen narrativo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Indicadores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Medios de verificación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Supuestos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FIN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Contribuir al desarrollo humano y a la reducción de la pobreza en Tadó.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IPM municipal; cobertura de necesidades básicas de agua.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DANE (IPM), TerriData, Plan de Desarrollo.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Estabilidad institucional y de orden público.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PROPÓSITO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La población de la cabecera dispone de agua potable continua y de calidad.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Continuidad ≥ 24 h; IRCA ≤ 5 (apta); cobertura ≥ 98 %.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Reportes SUI/Superservicios; informes IRCA.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La comunidad se conecta y paga la tarifa.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COMPONENTES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1) PTAP 45 L/s. 2) Redes rehabilitadas y sectorizadas. 3) Micromedición.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Capacidad instalada; km de red; IANC ≤ 25 %; N° de medidores.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Actas de obra; catastro de redes; SUI.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Suministro eléctrico/insumos estable; predios disponibles.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ACTIVIDADES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Estudios y diseños; obras civiles; equipos; interventoría; gestión ambiental y social.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Avance físico y financiero (%); cumplimiento del cronograma.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Informes de interventoría; ejecución presupuestal.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Recursos cofinanciados desembolsados a tiempo.</w:t>
            </w:r>
          </w:p>
        </w:tc>
      </w:tr>
    </w:tbl>
    <w:p/>
    <w:p>
      <w:pPr>
        <w:pStyle w:val="Heading1"/>
      </w:pPr>
      <w:r>
        <w:rPr>
          <w:color w:val="1F4E79"/>
          <w:sz w:val="30"/>
        </w:rPr>
        <w:t>5. Solución de Ingeniería Propuesta</w:t>
      </w:r>
    </w:p>
    <w:p>
      <w:pPr>
        <w:pStyle w:val="Heading2"/>
      </w:pPr>
      <w:r>
        <w:rPr>
          <w:color w:val="1F4E79"/>
          <w:sz w:val="24"/>
        </w:rPr>
        <w:t>5.1 Diseño de caudal (Resolución 0330 de 2017 — RAS)</w:t>
      </w:r>
    </w:p>
    <w:p>
      <w:pPr>
        <w:jc w:val="both"/>
      </w:pPr>
      <w:r>
        <w:rPr>
          <w:i w:val="0"/>
          <w:sz w:val="22"/>
        </w:rPr>
        <w:t>La Resolución 0330 de 2017 (RAS) fija la metodología de diseño. Con una población urbana base adoptada de 10.957 hab y crecimiento geométrico del 1,2 % anual, la población de diseño a 25 años es ≈ 14.764 hab. Para clima cálido (&lt; 1.000 m s.n.m.) la dotación neta es 140 L/hab·día y las pérdidas máximas admisibles 25 %, de donde la dotación bruta es 186,7 L/hab·día.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Caudal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Fórmula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Medio diario (Qmd)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Pob · Dot.bruta / 86.400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31,9 L/s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Máximo diario (QMD)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Qmd · k1 (1,30)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41,5 L/s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Máximo horario (QMH)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QMD · k2 (1,60)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66,4 L/s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Capacidad PTAP seleccionada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45 L/s</w:t>
            </w:r>
          </w:p>
        </w:tc>
      </w:tr>
    </w:tbl>
    <w:p/>
    <w:p>
      <w:pPr>
        <w:pStyle w:val="Heading2"/>
      </w:pPr>
      <w:r>
        <w:rPr>
          <w:color w:val="1F4E79"/>
          <w:sz w:val="24"/>
        </w:rPr>
        <w:t>5.2 Esquema del sistema</w:t>
      </w:r>
    </w:p>
    <w:p>
      <w:pPr>
        <w:jc w:val="both"/>
      </w:pPr>
      <w:r>
        <w:rPr>
          <w:i w:val="0"/>
          <w:sz w:val="22"/>
        </w:rPr>
        <w:t>1. Captación (bocatoma) sobre el río San Juan, con manejo de crecientes y sólidos gruesos. 2. Línea de aducción hasta la PTAP. 3. PTAP convencional de 45 L/s con tren robusto frente a alta turbiedad: pretratamiento/desarenado → coagulación-floculación → sedimentación → filtración → desinfección; calidad verificada con el IRCA (Resolución 2115 de 2007). 4. Almacenamiento (tanques) y estaciones de bombeo para presión y continuidad. 5. Redes de distribución rehabilitadas y sectorizadas, con micromedición para reducir el IANC.</w:t>
      </w:r>
    </w:p>
    <w:p>
      <w:pPr>
        <w:pStyle w:val="Heading2"/>
      </w:pPr>
      <w:r>
        <w:rPr>
          <w:color w:val="1F4E79"/>
          <w:sz w:val="24"/>
        </w:rPr>
        <w:t>5.3 Presupuesto / CAPEX por capítulos</w:t>
      </w:r>
    </w:p>
    <w:p>
      <w:pPr>
        <w:jc w:val="both"/>
      </w:pPr>
      <w:r>
        <w:rPr>
          <w:i w:val="0"/>
          <w:sz w:val="22"/>
        </w:rPr>
        <w:t>El CAPEX total se ancla a la inversión real del proyecto (COP 19.971 MM). El desglose por capítulos es una estimación consistente con ese total y con el alcance del proyecto.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Capítulo</w:t>
            </w:r>
          </w:p>
        </w:tc>
        <w:tc>
          <w:tcPr>
            <w:tcW w:type="dxa" w:w="432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COP MM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Captación (bocatoma) y línea de aducción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2.400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PTAP 45 L/s (obra civil + equipos)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6.300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Almacenamiento (tanques) y estaciones de bombeo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2.800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Redes de distribución, conexiones y micromedición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4.200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Optimización del alcantarillado (componente asociado)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2.471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Estudios, diseños, interventoría y gestión ambiental/social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1.800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TOTAL CAPEX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19.971</w:t>
            </w:r>
          </w:p>
        </w:tc>
      </w:tr>
    </w:tbl>
    <w:p/>
    <w:p>
      <w:pPr>
        <w:pStyle w:val="Heading1"/>
      </w:pPr>
      <w:r>
        <w:rPr>
          <w:color w:val="1F4E79"/>
          <w:sz w:val="30"/>
        </w:rPr>
        <w:t>6. Análisis Financiero</w:t>
      </w:r>
    </w:p>
    <w:p>
      <w:pPr>
        <w:pStyle w:val="Heading2"/>
      </w:pPr>
      <w:r>
        <w:rPr>
          <w:color w:val="1F4E79"/>
          <w:sz w:val="24"/>
        </w:rPr>
        <w:t>6.1 Estructura de financiación y WACC</w:t>
      </w:r>
    </w:p>
    <w:p>
      <w:pPr>
        <w:jc w:val="both"/>
      </w:pPr>
      <w:r>
        <w:rPr>
          <w:i w:val="0"/>
          <w:sz w:val="22"/>
        </w:rPr>
        <w:t>Los acueductos municipales pequeños no se financian con deuda pura: dependen de aportes públicos no reembolsables (SGR, PDA del Chocó, SGP, cooperación). Se adopta la estructura típica 80 % público / 10 % deuda / 10 % equity.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Fuente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COP MM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Costo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Aporte público (SGR/PDA/MinVivienda/cooperación)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80 %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15.977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tasa social 9 %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Deuda (banca de desarrollo, FINDETER)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10 %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1.997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Kd = 11 %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Equity (operador/municipio)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10 %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1.997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Ke = 14 %</w:t>
            </w:r>
          </w:p>
        </w:tc>
      </w:tr>
    </w:tbl>
    <w:p/>
    <w:p>
      <w:pPr>
        <w:jc w:val="both"/>
      </w:pPr>
      <w:r>
        <w:rPr>
          <w:i w:val="0"/>
          <w:sz w:val="22"/>
        </w:rPr>
        <w:t>WACC = 0,80·9 % + 0,10·14 % + 0,10·11 %·(1 − 0,35) = 9,31 %. El costo de oportunidad del aporte público se toma como la tasa social del DNP (9 %); la deuda incluye escudo fiscal con renta del 35 %.</w:t>
      </w:r>
    </w:p>
    <w:p>
      <w:pPr>
        <w:pStyle w:val="Heading2"/>
      </w:pPr>
      <w:r>
        <w:rPr>
          <w:color w:val="1F4E79"/>
          <w:sz w:val="24"/>
        </w:rPr>
        <w:t>6.2 Indicadores y evaluaciones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Evaluación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Tasa de descuento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1) Financiera del proyecto (solo tarifas)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WACC = 9,31 %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VPN = −15.487 MM; TIR = −2,45 %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2) Del inversionista (deuda + equity)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Ke = 14 %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VPN = −730 MM; TIR = 10,46 %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3) Socioeconómica (tasa social DNP)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VPN = +19.626 MM; B/C = 1,56</w:t>
            </w:r>
          </w:p>
        </w:tc>
      </w:tr>
    </w:tbl>
    <w:p/>
    <w:p>
      <w:pPr>
        <w:jc w:val="both"/>
      </w:pPr>
      <w:r>
        <w:rPr>
          <w:i w:val="0"/>
          <w:sz w:val="22"/>
        </w:rPr>
        <w:t>El proyecto no es rentable solo con tarifas (norma en acueductos del Pacífico). Es socialmente rentable: el VPN económico es ampliamente positivo y la relación beneficio/costo (1,56) supera 1, lo que justifica la inversión pública, coherente con el estándar internacional de la OMS.</w:t>
      </w:r>
    </w:p>
    <w:p>
      <w:pPr>
        <w:pStyle w:val="Heading2"/>
      </w:pPr>
      <w:r>
        <w:rPr>
          <w:color w:val="1F4E79"/>
          <w:sz w:val="24"/>
        </w:rPr>
        <w:t>6.3 Análisis de sensibilidad — aporte público vs. TIR del inversionista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Aporte público</w:t>
            </w:r>
          </w:p>
        </w:tc>
        <w:tc>
          <w:tcPr>
            <w:tcW w:type="dxa" w:w="432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TIR inversionista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0 %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−5,40 %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40 %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−1,46 %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60 %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+2,18 %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70 %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+5,20 %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80 %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+10,46 %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90 %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+25,18 %</w:t>
            </w:r>
          </w:p>
        </w:tc>
      </w:tr>
    </w:tbl>
    <w:p/>
    <w:p>
      <w:pPr>
        <w:jc w:val="both"/>
      </w:pPr>
      <w:r>
        <w:rPr>
          <w:i w:val="0"/>
          <w:sz w:val="22"/>
        </w:rPr>
        <w:t>Sin aporte público el proyecto es inviable para cualquier inversionista. Solo resulta atractivo para un operador privado con aporte público muy alto (≥ 85–90 %), o debe ser operado por una empresa pública/comunitaria que no exige el 14 % de rentabilidad. Esto explica por qué lo financió MinVivienda con cooperación internacional.</w:t>
      </w:r>
    </w:p>
    <w:p>
      <w:pPr>
        <w:pStyle w:val="Heading2"/>
      </w:pPr>
      <w:r>
        <w:rPr>
          <w:color w:val="1F4E79"/>
          <w:sz w:val="24"/>
        </w:rPr>
        <w:t>6.4 Flujos de caja (Proyecto, Inversionista, Banco y Social)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Año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Ingresos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OPEX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EBITDA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FC Proyecto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FC Inversion.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FC Banco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Benef. social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FC Social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-19.971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-1.997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1.997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-19.971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1.500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1.150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4.150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3.000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1.552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1.190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4.295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3.105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1.607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1.232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4.446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3.214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1.663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1.275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4.601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3.326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1.721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1.320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4.762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3.443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1.782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1.366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4.929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3.563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1.844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1.414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5.101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3.688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1.908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1.463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5.280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3.817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1.975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1.514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5.465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3.950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2.044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1.567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5.656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4.089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2.116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1.622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5.854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4.232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2.190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1.679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6.059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4.380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2.267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1.738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6.271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4.533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2.346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1.798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6.490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4.692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2.428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1.862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6.718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4.856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2.513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1.927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6.953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5.026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2.601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1.994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7.196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5.202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2.692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2.064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7.448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5.384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2.786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2.136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7.709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5.572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2.884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2.211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7.978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5.768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2.985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2.288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8.258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5.969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3.089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2.368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8.547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6.178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3.197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2.451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8.846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6.394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3.309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2.537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9.155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6.618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3.425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2.626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9.476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6.850</w:t>
            </w:r>
          </w:p>
        </w:tc>
      </w:tr>
    </w:tbl>
    <w:p/>
    <w:p>
      <w:pPr>
        <w:jc w:val="both"/>
      </w:pPr>
      <w:r>
        <w:rPr>
          <w:i/>
          <w:sz w:val="18"/>
        </w:rPr>
        <w:t>FC Proyecto: rentabilidad de la inversión total (descontado al WACC). FC Inversionista: lo que recibe el accionista tras intereses y amortización (descontado al Ke). FC Banco: desembolsa la deuda en el año 0 y recibe la cuota fija 10 años. FC Social: beneficios sociales menos OPEX (descontado a la tasa social 9 %).</w:t>
      </w:r>
    </w:p>
    <w:p>
      <w:pPr>
        <w:pStyle w:val="Heading1"/>
      </w:pPr>
      <w:r>
        <w:rPr>
          <w:color w:val="1F4E79"/>
          <w:sz w:val="30"/>
        </w:rPr>
        <w:t>7. Matriz de Riesgos (20 riesgos)</w:t>
      </w:r>
    </w:p>
    <w:p>
      <w:pPr>
        <w:jc w:val="both"/>
      </w:pPr>
      <w:r>
        <w:rPr>
          <w:i/>
          <w:sz w:val="18"/>
        </w:rPr>
        <w:t>Escala: Probabilidad (P) e Impacto (I) de 1 a 5. Severidad = P × I. Clasificación: Bajo (1–6), Medio (8–12), Alto (15–25).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P×I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Nivel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Crecientes/turbiedad extrema del río San Juan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Alto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Contaminación por minería ilegal (mercurio)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Alto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Inundaciones que dañan captación/redes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Alto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Deforestación de la cuenca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Vertimientos de aguas residuales a la fuente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Resistencia comunitaria a micromedición/tarifa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Social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Baja cultura de pago y cartera morosa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Social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Presencia de grupos armados (extorsión/retrasos)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Seguridad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Alto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Demora en desembolsos de cofinanciación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Institucional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Alto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Debilidad del operador municipal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Institucional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Sobrecostos por inflación de insumos/transporte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Financiero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Tarifa insuficiente para cubrir OPEX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Financiero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Diseño hidráulico subdimensionado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Fallas de equipos de bombeo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Suministro eléctrico inestable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Alto IANC por fugas no detectadas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Operativo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Dificultad de acceso por mal estado de vías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Logístico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Escasez de insumos químicos (coagulantes)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Demoras en predios/servidumbres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Legal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Brote de EDA durante la transición de obra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Salud pública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</w:tbl>
    <w:p/>
    <w:p>
      <w:pPr>
        <w:jc w:val="both"/>
      </w:pPr>
      <w:r>
        <w:rPr>
          <w:i w:val="0"/>
          <w:sz w:val="22"/>
        </w:rPr>
        <w:t>Los riesgos más críticos (Altos) se concentran en factores ambientales (turbiedad, minería, inundaciones), seguridad e institucionales (desembolsos).</w:t>
      </w:r>
    </w:p>
    <w:p>
      <w:pPr>
        <w:pStyle w:val="Heading1"/>
      </w:pPr>
      <w:r>
        <w:rPr>
          <w:color w:val="1F4E79"/>
          <w:sz w:val="30"/>
        </w:rPr>
        <w:t>8. Intervención de 10 Riesgos (5 ambientales) y Recalificación</w:t>
      </w:r>
    </w:p>
    <w:p>
      <w:pPr>
        <w:jc w:val="both"/>
      </w:pPr>
      <w:r>
        <w:rPr>
          <w:i w:val="0"/>
          <w:sz w:val="22"/>
        </w:rPr>
        <w:t>Se intervienen los 10 riesgos prioritarios, incluidos 5 ambientales (riesgos 1, 2, 3, 5 y 4).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Intervención propuesta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P×I residual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Nivel residual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Turbiedad extrema del río San Juan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Pretratamiento robusto + sedimentadores de alta tasa + dosificación automática + tanque de regulación.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Contaminación por minería ilegal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Monitoreo de fuente + carbón activado + articulación con CODECHOCÓ y control de minería.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Inundaciones que dañan infraestructura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Captación elevada/protegida + protección de orillas + redes en cotas seguras.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Vertimientos a la fuente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Optimización de alcantarillado + campañas + coordinación municipal.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Deforestación de la cuenca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Pago por servicios ambientales + reforestación de microcuenca con la comunidad.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Grupos armados / inseguridad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Seguridad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Plan de seguridad de obra + articulación con autoridades + contratación local.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Demora en desembolsos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Institucional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Convenio con desembolsos por hitos + anticipo + fiducia.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Baja cultura de pago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Social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Subsidios focalizados + educación + tarifa social + facturación clara.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Tarifa insuficiente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Financiero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Estudio tarifario CRA + subsidios cruzados + aporte SGP.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Suministro eléctrico inestable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Planta eléctrica de respaldo + almacenamiento con autonomía.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</w:tbl>
    <w:p/>
    <w:p>
      <w:pPr>
        <w:jc w:val="both"/>
      </w:pPr>
      <w:r>
        <w:rPr>
          <w:i w:val="0"/>
          <w:sz w:val="22"/>
        </w:rPr>
        <w:t>Con las intervenciones, los riesgos pasan de niveles Alto/Medio a Medio/Bajo. Los 5 riesgos ambientales priorizados se reducen sustancialmente, lo cual es clave porque la fuente (río San Juan), la turbiedad extrema y la minería son las mayores amenazas para la operación.</w:t>
      </w:r>
    </w:p>
    <w:p>
      <w:pPr>
        <w:pStyle w:val="Heading1"/>
      </w:pPr>
      <w:r>
        <w:rPr>
          <w:color w:val="1F4E79"/>
          <w:sz w:val="30"/>
        </w:rPr>
        <w:t>9. Conclusiones y Recomendaciones</w:t>
      </w:r>
    </w:p>
    <w:p>
      <w:pPr>
        <w:pStyle w:val="ListNumber"/>
      </w:pPr>
      <w:r>
        <w:t>Técnicamente viable: el caudal de diseño (QMD = 41,5 L/s, Res. 0330) y la PTAP de 45 L/s responden a la población a 25 años; el reto central es la alta turbiedad de la fuente.</w:t>
      </w:r>
    </w:p>
    <w:p>
      <w:pPr>
        <w:pStyle w:val="ListNumber"/>
      </w:pPr>
      <w:r>
        <w:t>Financieramente NO rentable solo con tarifas (VPN = −15.487 MM; TIR = −2,45 %), lo cual es la norma en acueductos del Pacífico y no descalifica el proyecto.</w:t>
      </w:r>
    </w:p>
    <w:p>
      <w:pPr>
        <w:pStyle w:val="ListNumber"/>
      </w:pPr>
      <w:r>
        <w:t>Requiere cofinanciación pública alta (≥ 80–90 %) para ejecutarse y operar de forma sostenible; lo natural es un operador público/comunitario apoyado por SGR/PDA/cooperación.</w:t>
      </w:r>
    </w:p>
    <w:p>
      <w:pPr>
        <w:pStyle w:val="ListNumber"/>
      </w:pPr>
      <w:r>
        <w:t>Socialmente muy rentable: VPN social de +19.626 MM y B/C = 1,56 a la tasa social del DNP (9 %); aquí está la verdadera justificación de la inversión.</w:t>
      </w:r>
    </w:p>
    <w:p>
      <w:pPr>
        <w:pStyle w:val="ListNumber"/>
      </w:pPr>
      <w:r>
        <w:t>Los riesgos ambientales y de seguridad son los más críticos; las medidas propuestas los reducen a niveles manejables.</w:t>
      </w:r>
    </w:p>
    <w:p>
      <w:pPr>
        <w:pStyle w:val="Heading1"/>
      </w:pPr>
      <w:r>
        <w:rPr>
          <w:color w:val="1F4E79"/>
          <w:sz w:val="30"/>
        </w:rPr>
        <w:t>10. Fuentes</w:t>
      </w:r>
    </w:p>
    <w:p>
      <w:pPr>
        <w:pStyle w:val="ListBullet"/>
      </w:pPr>
      <w:r>
        <w:t>DANE — Censo Nacional de Población y Vivienda 2018: población de Tadó ≈ 17.000 hab.</w:t>
      </w:r>
    </w:p>
    <w:p>
      <w:pPr>
        <w:pStyle w:val="ListBullet"/>
      </w:pPr>
      <w:r>
        <w:t>Clima de Tadó (~7.921 mm/año, clima tropical lluvioso): Wikipedia — Tadó.</w:t>
      </w:r>
    </w:p>
    <w:p>
      <w:pPr>
        <w:pStyle w:val="ListBullet"/>
      </w:pPr>
      <w:r>
        <w:t>Río San Juan (fuente hídrica, vertiente Pacífico): Wikipedia — San Juan River (Colombia).</w:t>
      </w:r>
    </w:p>
    <w:p>
      <w:pPr>
        <w:pStyle w:val="ListBullet"/>
      </w:pPr>
      <w:r>
        <w:t>Proyecto real de acueducto de Tadó (MinVivienda + cooperación española; inversión COP 19.971 millones; meta 24 h y 98 % de cobertura): Agencia Anadolu (aa.com.tr).</w:t>
      </w:r>
    </w:p>
    <w:p>
      <w:pPr>
        <w:pStyle w:val="ListBullet"/>
      </w:pPr>
      <w:r>
        <w:t>Contexto de seguridad en la región de Tadó (Chocó): El Ciudadano.</w:t>
      </w:r>
    </w:p>
    <w:p>
      <w:pPr>
        <w:pStyle w:val="ListBullet"/>
      </w:pPr>
      <w:r>
        <w:t>Resolución 0330 de 2017 (RAS) — MinVivienda: dotación, pérdidas y coeficientes k1/k2.</w:t>
      </w:r>
    </w:p>
    <w:p>
      <w:pPr>
        <w:pStyle w:val="ListBullet"/>
      </w:pPr>
      <w:r>
        <w:t>Resolución 2115 de 2007: criterios de calidad del agua (IRCA).</w:t>
      </w:r>
    </w:p>
    <w:p>
      <w:pPr>
        <w:pStyle w:val="ListBullet"/>
      </w:pPr>
      <w:r>
        <w:t>Marco tarifario CRA (Resolución CRA 943 de 2021).</w:t>
      </w:r>
    </w:p>
    <w:p>
      <w:pPr>
        <w:pStyle w:val="ListBullet"/>
      </w:pPr>
      <w:r>
        <w:t>Tasa social de descuento (9 %): Departamento Nacional de Planeación (DNP).</w:t>
      </w:r>
    </w:p>
    <w:p>
      <w:pPr>
        <w:jc w:val="both"/>
      </w:pPr>
      <w:r>
        <w:rPr>
          <w:i/>
          <w:sz w:val="18"/>
        </w:rPr>
        <w:t>El contenido de las fuentes consultadas fue parafraseado y resumido para cumplir con las restricciones de licenciamiento.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