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Conservando el espectro de diseño previamente definido, con una aceleración espectral de 0.368 asociada al período fundamental aproximado de 0.554 segundos,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0.368 × 41 074 = 15 129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r>
              <w:rPr>
                <w:rFonts w:ascii="Times New Roman" w:hAnsi="Times New Roman"/>
                <w:b w:val="0"/>
                <w:i w:val="0"/>
                <w:sz w:val="18"/>
                <w:rFonts w:ascii="Times New Roman" w:hAnsi="Times New Roman"/>
              </w:rPr>
              <w:t>991.6</w:t>
            </w:r>
          </w:p>
        </w:tc>
        <w:tc>
          <w:tcPr>
            <w:tcW w:type="dxa" w:w="1263"/>
          </w:tcPr>
          <w:p>
            <w:pPr>
              <w:jc w:val="center"/>
            </w:pPr>
            <w:r/>
            <w:r>
              <w:rPr>
                <w:rFonts w:ascii="Times New Roman" w:hAnsi="Times New Roman"/>
                <w:b w:val="0"/>
                <w:i w:val="0"/>
                <w:sz w:val="18"/>
                <w:rFonts w:ascii="Times New Roman" w:hAnsi="Times New Roman"/>
              </w:rPr>
              <w:t>792.7</w:t>
            </w:r>
          </w:p>
        </w:tc>
        <w:tc>
          <w:tcPr>
            <w:tcW w:type="dxa" w:w="1263"/>
          </w:tcPr>
          <w:p>
            <w:pPr>
              <w:jc w:val="center"/>
            </w:pPr>
            <w:r/>
            <w:r>
              <w:rPr>
                <w:rFonts w:ascii="Times New Roman" w:hAnsi="Times New Roman"/>
                <w:b w:val="0"/>
                <w:i w:val="0"/>
                <w:sz w:val="18"/>
                <w:rFonts w:ascii="Times New Roman" w:hAnsi="Times New Roman"/>
              </w:rPr>
              <w:t>1 814.5</w:t>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r>
              <w:rPr>
                <w:rFonts w:ascii="Times New Roman" w:hAnsi="Times New Roman"/>
                <w:b w:val="0"/>
                <w:i w:val="0"/>
                <w:sz w:val="18"/>
                <w:rFonts w:ascii="Times New Roman" w:hAnsi="Times New Roman"/>
              </w:rPr>
              <w:t>2 477.8</w:t>
            </w:r>
          </w:p>
        </w:tc>
        <w:tc>
          <w:tcPr>
            <w:tcW w:type="dxa" w:w="1263"/>
          </w:tcPr>
          <w:p>
            <w:pPr>
              <w:jc w:val="center"/>
            </w:pPr>
            <w:r/>
            <w:r>
              <w:rPr>
                <w:rFonts w:ascii="Times New Roman" w:hAnsi="Times New Roman"/>
                <w:b w:val="0"/>
                <w:i w:val="0"/>
                <w:sz w:val="18"/>
                <w:rFonts w:ascii="Times New Roman" w:hAnsi="Times New Roman"/>
              </w:rPr>
              <w:t>1 981.0</w:t>
            </w:r>
          </w:p>
        </w:tc>
        <w:tc>
          <w:tcPr>
            <w:tcW w:type="dxa" w:w="1263"/>
          </w:tcPr>
          <w:p>
            <w:pPr>
              <w:jc w:val="center"/>
            </w:pPr>
            <w:r/>
            <w:r>
              <w:rPr>
                <w:rFonts w:ascii="Times New Roman" w:hAnsi="Times New Roman"/>
                <w:b w:val="0"/>
                <w:i w:val="0"/>
                <w:sz w:val="18"/>
                <w:rFonts w:ascii="Times New Roman" w:hAnsi="Times New Roman"/>
              </w:rPr>
              <w:t>4 534.4</w:t>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r>
              <w:rPr>
                <w:rFonts w:ascii="Times New Roman" w:hAnsi="Times New Roman"/>
                <w:b w:val="0"/>
                <w:i w:val="0"/>
                <w:sz w:val="18"/>
                <w:rFonts w:ascii="Times New Roman" w:hAnsi="Times New Roman"/>
              </w:rPr>
              <w:t>3 658.6</w:t>
            </w:r>
          </w:p>
        </w:tc>
        <w:tc>
          <w:tcPr>
            <w:tcW w:type="dxa" w:w="1263"/>
          </w:tcPr>
          <w:p>
            <w:pPr>
              <w:jc w:val="center"/>
            </w:pPr>
            <w:r/>
            <w:r>
              <w:rPr>
                <w:rFonts w:ascii="Times New Roman" w:hAnsi="Times New Roman"/>
                <w:b w:val="0"/>
                <w:i w:val="0"/>
                <w:sz w:val="18"/>
                <w:rFonts w:ascii="Times New Roman" w:hAnsi="Times New Roman"/>
              </w:rPr>
              <w:t>2 925.1</w:t>
            </w:r>
          </w:p>
        </w:tc>
        <w:tc>
          <w:tcPr>
            <w:tcW w:type="dxa" w:w="1263"/>
          </w:tcPr>
          <w:p>
            <w:pPr>
              <w:jc w:val="center"/>
            </w:pPr>
            <w:r/>
            <w:r>
              <w:rPr>
                <w:rFonts w:ascii="Times New Roman" w:hAnsi="Times New Roman"/>
                <w:b w:val="0"/>
                <w:i w:val="0"/>
                <w:sz w:val="18"/>
                <w:rFonts w:ascii="Times New Roman" w:hAnsi="Times New Roman"/>
              </w:rPr>
              <w:t>6 695.2</w:t>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r>
              <w:rPr>
                <w:rFonts w:ascii="Times New Roman" w:hAnsi="Times New Roman"/>
                <w:b w:val="0"/>
                <w:i w:val="0"/>
                <w:sz w:val="18"/>
                <w:rFonts w:ascii="Times New Roman" w:hAnsi="Times New Roman"/>
              </w:rPr>
              <w:t>4 849.7</w:t>
            </w:r>
          </w:p>
        </w:tc>
        <w:tc>
          <w:tcPr>
            <w:tcW w:type="dxa" w:w="1263"/>
          </w:tcPr>
          <w:p>
            <w:pPr>
              <w:jc w:val="center"/>
            </w:pPr>
            <w:r/>
            <w:r>
              <w:rPr>
                <w:rFonts w:ascii="Times New Roman" w:hAnsi="Times New Roman"/>
                <w:b w:val="0"/>
                <w:i w:val="0"/>
                <w:sz w:val="18"/>
                <w:rFonts w:ascii="Times New Roman" w:hAnsi="Times New Roman"/>
              </w:rPr>
              <w:t>3 877.3</w:t>
            </w:r>
          </w:p>
        </w:tc>
        <w:tc>
          <w:tcPr>
            <w:tcW w:type="dxa" w:w="1263"/>
          </w:tcPr>
          <w:p>
            <w:pPr>
              <w:jc w:val="center"/>
            </w:pPr>
            <w:r/>
            <w:r>
              <w:rPr>
                <w:rFonts w:ascii="Times New Roman" w:hAnsi="Times New Roman"/>
                <w:b w:val="0"/>
                <w:i w:val="0"/>
                <w:sz w:val="18"/>
                <w:rFonts w:ascii="Times New Roman" w:hAnsi="Times New Roman"/>
              </w:rPr>
              <w:t>8 874.9</w:t>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r>
              <w:rPr>
                <w:rFonts w:ascii="Times New Roman" w:hAnsi="Times New Roman"/>
                <w:b w:val="0"/>
                <w:i w:val="0"/>
                <w:sz w:val="18"/>
                <w:rFonts w:ascii="Times New Roman" w:hAnsi="Times New Roman"/>
              </w:rPr>
              <w:t>3 151.1</w:t>
            </w:r>
          </w:p>
        </w:tc>
        <w:tc>
          <w:tcPr>
            <w:tcW w:type="dxa" w:w="1263"/>
          </w:tcPr>
          <w:p>
            <w:pPr>
              <w:jc w:val="center"/>
            </w:pPr>
            <w:r/>
            <w:r>
              <w:rPr>
                <w:rFonts w:ascii="Times New Roman" w:hAnsi="Times New Roman"/>
                <w:b w:val="0"/>
                <w:i w:val="0"/>
                <w:sz w:val="18"/>
                <w:rFonts w:ascii="Times New Roman" w:hAnsi="Times New Roman"/>
              </w:rPr>
              <w:t>2 519.3</w:t>
            </w:r>
          </w:p>
        </w:tc>
        <w:tc>
          <w:tcPr>
            <w:tcW w:type="dxa" w:w="1263"/>
          </w:tcPr>
          <w:p>
            <w:pPr>
              <w:jc w:val="center"/>
            </w:pPr>
            <w:r/>
            <w:r>
              <w:rPr>
                <w:rFonts w:ascii="Times New Roman" w:hAnsi="Times New Roman"/>
                <w:b w:val="0"/>
                <w:i w:val="0"/>
                <w:sz w:val="18"/>
                <w:rFonts w:ascii="Times New Roman" w:hAnsi="Times New Roman"/>
              </w:rPr>
              <w:t>5 766.5</w:t>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r>
              <w:rPr>
                <w:rFonts w:ascii="Times New Roman" w:hAnsi="Times New Roman"/>
                <w:b w:val="0"/>
                <w:i w:val="0"/>
                <w:sz w:val="18"/>
                <w:rFonts w:ascii="Times New Roman" w:hAnsi="Times New Roman"/>
              </w:rPr>
              <w:t>15 128.7</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b w:val="0"/>
          <w:i w:val="0"/>
          <w:sz w:val="24"/>
          <w:rFonts w:ascii="Times New Roman" w:hAnsi="Times New Roman"/>
        </w:rPr>
        <w:t>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sobre cada vigueta se obtiene mayorando las cargas y multiplicando por la separación, y los momentos y cortantes se determinan mediante los coeficientes establecidos en la sección C.8.3.3 para elementos continuos.</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b w:val="0"/>
          <w:i w:val="0"/>
          <w:sz w:val="24"/>
          <w:rFonts w:ascii="Times New Roman" w:hAnsi="Times New Roman"/>
        </w:rPr>
        <w:t>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Con el fin de optimizar el armado, las vigas se agruparon en tres tipos según su nivel de solicitación, y cada tipo se diseñó para el mayor momento de su grupo.</w:t>
      </w:r>
    </w:p>
    <w:p>
      <w:pPr>
        <w:jc w:val="both"/>
      </w:pPr>
      <w:r>
        <w:rPr>
          <w:rFonts w:ascii="Times New Roman" w:hAnsi="Times New Roman"/>
          <w:b w:val="0"/>
          <w:i w:val="0"/>
          <w:sz w:val="24"/>
          <w:rFonts w:ascii="Times New Roman" w:hAnsi="Times New Roman"/>
        </w:rPr>
        <w:t>A manera de ilustración se presenta el diseño de la viga del tipo VC-3, correspondiente al mayor momento negativo, igual a 142 kilonewton metro. Considerando un recubrimiento de 0.04 metros, un estribo número 3 y barras longitudinales número 5, la altura efectiva de la sección es de 342.6 milímetros. El factor de resistencia requerido es Rn = 142 × 10⁶ dividido entre el producto de 0.90, 300 y el cuadrado de 342.6, igual a 4.48 megapascales. La cuantía correspondiente es de 0.0119 y el área de acero requerida de 1 226 milímetros cuadrados, valor comprendido entre el mínimo de 343 y el máximo permitido, lo que garantiza un comportamiento dúctil. Se disponen siete barras número 5, equivalentes a 1 393 milímetros cuadrados. Con esta armadura, la profundidad del bloque de compresión es de 81.9 milímetros y el momento resistente reducido alcanza 158.8 kilonewton metro, superior al momento solicitante, por lo que la sección cumple. De manera análoga, el momento positivo de 79 kilonewton metro se atiende con cuatro barras número 5.</w:t>
      </w:r>
    </w:p>
    <w:p>
      <w:pPr>
        <w:jc w:val="both"/>
      </w:pPr>
      <w:r>
        <w:rPr>
          <w:rFonts w:ascii="Times New Roman" w:hAnsi="Times New Roman"/>
          <w:b w:val="0"/>
          <w:i w:val="0"/>
          <w:sz w:val="24"/>
          <w:rFonts w:ascii="Times New Roman" w:hAnsi="Times New Roman"/>
        </w:rPr>
        <w:t>El diseño a cortante se realiza determinando la resistencia aportada por el concreto, igual a 92.4 kilonewton, y la resistencia requerida del refuerzo transversal. Para la viga del tipo crítico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La torsión solicitante de 20 kilonewton metro supera el umbral de 3.4 kilonewton metro, por lo que se dispone refuerzo adicional por torsión, conformado por estribos cerrados y barras longitudinales distribuidas en el perímetro. El resumen del armado de las vigas de carga se presenta en la Tabla 61.</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VC-1</w:t>
            </w:r>
          </w:p>
        </w:tc>
        <w:tc>
          <w:tcPr>
            <w:tcW w:type="dxa" w:w="1473"/>
          </w:tcPr>
          <w:p>
            <w:pPr>
              <w:jc w:val="center"/>
            </w:pPr>
            <w:r/>
            <w:r>
              <w:rPr>
                <w:rFonts w:ascii="Times New Roman" w:hAnsi="Times New Roman"/>
                <w:b w:val="0"/>
                <w:i w:val="0"/>
                <w:sz w:val="18"/>
                <w:rFonts w:ascii="Times New Roman" w:hAnsi="Times New Roman"/>
              </w:rPr>
              <w:t>148</w:t>
            </w:r>
          </w:p>
        </w:tc>
        <w:tc>
          <w:tcPr>
            <w:tcW w:type="dxa" w:w="1473"/>
          </w:tcPr>
          <w:p>
            <w:pPr>
              <w:jc w:val="center"/>
            </w:pPr>
            <w:r/>
            <w:r>
              <w:rPr>
                <w:rFonts w:ascii="Times New Roman" w:hAnsi="Times New Roman"/>
                <w:b w:val="0"/>
                <w:i w:val="0"/>
                <w:sz w:val="18"/>
                <w:rFonts w:ascii="Times New Roman" w:hAnsi="Times New Roman"/>
              </w:rPr>
              <w:t>hasta 80</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3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120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VC-3</w:t>
            </w:r>
          </w:p>
        </w:tc>
        <w:tc>
          <w:tcPr>
            <w:tcW w:type="dxa" w:w="1473"/>
          </w:tcPr>
          <w:p>
            <w:pPr>
              <w:jc w:val="center"/>
            </w:pPr>
            <w:r/>
            <w:r>
              <w:rPr>
                <w:rFonts w:ascii="Times New Roman" w:hAnsi="Times New Roman"/>
                <w:b w:val="0"/>
                <w:i w:val="0"/>
                <w:sz w:val="18"/>
                <w:rFonts w:ascii="Times New Roman" w:hAnsi="Times New Roman"/>
              </w:rPr>
              <w:t>12</w:t>
            </w:r>
          </w:p>
        </w:tc>
        <w:tc>
          <w:tcPr>
            <w:tcW w:type="dxa" w:w="1473"/>
          </w:tcPr>
          <w:p>
            <w:pPr>
              <w:jc w:val="center"/>
            </w:pPr>
            <w:r/>
            <w:r>
              <w:rPr>
                <w:rFonts w:ascii="Times New Roman" w:hAnsi="Times New Roman"/>
                <w:b w:val="0"/>
                <w:i w:val="0"/>
                <w:sz w:val="18"/>
                <w:rFonts w:ascii="Times New Roman" w:hAnsi="Times New Roman"/>
              </w:rPr>
              <w:t>hasta 142</w:t>
            </w:r>
          </w:p>
        </w:tc>
        <w:tc>
          <w:tcPr>
            <w:tcW w:type="dxa" w:w="1473"/>
          </w:tcPr>
          <w:p>
            <w:pPr>
              <w:jc w:val="center"/>
            </w:pPr>
            <w:r/>
            <w:r>
              <w:rPr>
                <w:rFonts w:ascii="Times New Roman" w:hAnsi="Times New Roman"/>
                <w:b w:val="0"/>
                <w:i w:val="0"/>
                <w:sz w:val="18"/>
                <w:rFonts w:ascii="Times New Roman" w:hAnsi="Times New Roman"/>
              </w:rPr>
              <w:t>7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b w:val="0"/>
          <w:i w:val="0"/>
          <w:sz w:val="24"/>
          <w:rFonts w:ascii="Times New Roman" w:hAnsi="Times New Roman"/>
        </w:rPr>
        <w:t>Las vigas de rigidez, de 0.35 metros de ancho por 0.40 metros de altura, complementan el sistema de pórticos aportando rigidez lateral a la edificación. Su diseño sigue el mismo procedimiento descrito para las vigas de carga, agrupándolas en cuatro tipos según su nivel de solicitación. El tipo más exigente, denominado VR-4, corresponde a un momento negativo de 243 kilonewton metro. Con una altura efectiva de 342.6 milímetros, la cuantía requerida es de 0.020 y el área de acero de 2 249 milímetros cuadrados, lo que se atiende con doce barras número 5, equivalentes a 2 388 milímetros cuadrados y a una cuantía de 1.99 por ciento, inferior al máximo permitido. El momento resistente reducido alcanza 254.9 kilonewton metro, superior al solicitante. El cortante de diseño, igual a 202 kilonewton, se atiende con estribos número 3 separados cada 85 milímetros en la zona de confinamiento, y la torsión solicitante de 26 kilonewton metro, superior al umbral, exige refuerzo adicional por torsión. Cuando el número de barras resulte elevado, como en el tipo VR-4, puede emplearse un diámetro mayor, como las barras número 6 o número 7, con el fin de facilitar el armado. El resumen del diseño de las riostras se presenta en la Tabla 62.</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VR-1</w:t>
            </w:r>
          </w:p>
        </w:tc>
        <w:tc>
          <w:tcPr>
            <w:tcW w:type="dxa" w:w="1473"/>
          </w:tcPr>
          <w:p>
            <w:pPr>
              <w:jc w:val="center"/>
            </w:pPr>
            <w:r/>
            <w:r>
              <w:rPr>
                <w:rFonts w:ascii="Times New Roman" w:hAnsi="Times New Roman"/>
                <w:b w:val="0"/>
                <w:i w:val="0"/>
                <w:sz w:val="18"/>
                <w:rFonts w:ascii="Times New Roman" w:hAnsi="Times New Roman"/>
              </w:rPr>
              <w:t>170</w:t>
            </w:r>
          </w:p>
        </w:tc>
        <w:tc>
          <w:tcPr>
            <w:tcW w:type="dxa" w:w="1473"/>
          </w:tcPr>
          <w:p>
            <w:pPr>
              <w:jc w:val="center"/>
            </w:pPr>
            <w:r/>
            <w:r>
              <w:rPr>
                <w:rFonts w:ascii="Times New Roman" w:hAnsi="Times New Roman"/>
                <w:b w:val="0"/>
                <w:i w:val="0"/>
                <w:sz w:val="18"/>
                <w:rFonts w:ascii="Times New Roman" w:hAnsi="Times New Roman"/>
              </w:rPr>
              <w:t>hasta 100</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140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VR-3</w:t>
            </w:r>
          </w:p>
        </w:tc>
        <w:tc>
          <w:tcPr>
            <w:tcW w:type="dxa" w:w="1473"/>
          </w:tcPr>
          <w:p>
            <w:pPr>
              <w:jc w:val="center"/>
            </w:pPr>
            <w:r/>
            <w:r>
              <w:rPr>
                <w:rFonts w:ascii="Times New Roman" w:hAnsi="Times New Roman"/>
                <w:b w:val="0"/>
                <w:i w:val="0"/>
                <w:sz w:val="18"/>
                <w:rFonts w:ascii="Times New Roman" w:hAnsi="Times New Roman"/>
              </w:rPr>
              <w:t>6</w:t>
            </w:r>
          </w:p>
        </w:tc>
        <w:tc>
          <w:tcPr>
            <w:tcW w:type="dxa" w:w="1473"/>
          </w:tcPr>
          <w:p>
            <w:pPr>
              <w:jc w:val="center"/>
            </w:pPr>
            <w:r/>
            <w:r>
              <w:rPr>
                <w:rFonts w:ascii="Times New Roman" w:hAnsi="Times New Roman"/>
                <w:b w:val="0"/>
                <w:i w:val="0"/>
                <w:sz w:val="18"/>
                <w:rFonts w:ascii="Times New Roman" w:hAnsi="Times New Roman"/>
              </w:rPr>
              <w:t>hasta 200</w:t>
            </w:r>
          </w:p>
        </w:tc>
        <w:tc>
          <w:tcPr>
            <w:tcW w:type="dxa" w:w="1473"/>
          </w:tcPr>
          <w:p>
            <w:pPr>
              <w:jc w:val="center"/>
            </w:pPr>
            <w:r/>
            <w:r>
              <w:rPr>
                <w:rFonts w:ascii="Times New Roman" w:hAnsi="Times New Roman"/>
                <w:b w:val="0"/>
                <w:i w:val="0"/>
                <w:sz w:val="18"/>
                <w:rFonts w:ascii="Times New Roman" w:hAnsi="Times New Roman"/>
              </w:rPr>
              <w:t>9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VR-4</w:t>
            </w:r>
          </w:p>
        </w:tc>
        <w:tc>
          <w:tcPr>
            <w:tcW w:type="dxa" w:w="1473"/>
          </w:tcPr>
          <w:p>
            <w:pPr>
              <w:jc w:val="center"/>
            </w:pPr>
            <w:r/>
            <w:r>
              <w:rPr>
                <w:rFonts w:ascii="Times New Roman" w:hAnsi="Times New Roman"/>
                <w:b w:val="0"/>
                <w:i w:val="0"/>
                <w:sz w:val="18"/>
                <w:rFonts w:ascii="Times New Roman" w:hAnsi="Times New Roman"/>
              </w:rPr>
              <w:t>14</w:t>
            </w:r>
          </w:p>
        </w:tc>
        <w:tc>
          <w:tcPr>
            <w:tcW w:type="dxa" w:w="1473"/>
          </w:tcPr>
          <w:p>
            <w:pPr>
              <w:jc w:val="center"/>
            </w:pPr>
            <w:r/>
            <w:r>
              <w:rPr>
                <w:rFonts w:ascii="Times New Roman" w:hAnsi="Times New Roman"/>
                <w:b w:val="0"/>
                <w:i w:val="0"/>
                <w:sz w:val="18"/>
                <w:rFonts w:ascii="Times New Roman" w:hAnsi="Times New Roman"/>
              </w:rPr>
              <w:t>hasta 243</w:t>
            </w:r>
          </w:p>
        </w:tc>
        <w:tc>
          <w:tcPr>
            <w:tcW w:type="dxa" w:w="1473"/>
          </w:tcPr>
          <w:p>
            <w:pPr>
              <w:jc w:val="center"/>
            </w:pPr>
            <w:r/>
            <w:r>
              <w:rPr>
                <w:rFonts w:ascii="Times New Roman" w:hAnsi="Times New Roman"/>
                <w:b w:val="0"/>
                <w:i w:val="0"/>
                <w:sz w:val="18"/>
                <w:rFonts w:ascii="Times New Roman" w:hAnsi="Times New Roman"/>
              </w:rPr>
              <w:t>12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