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36"/>
        </w:rPr>
        <w:t>INFORME DE PREPARACIÓN Y EVALUACIÓN</w:t>
        <w:br/>
        <w:t>DE PROYECTOS DE INGENIERÍA (PEPI)</w:t>
      </w:r>
    </w:p>
    <w:p>
      <w:pPr>
        <w:jc w:val="center"/>
      </w:pPr>
      <w:r>
        <w:rPr>
          <w:color w:val="595959"/>
          <w:sz w:val="26"/>
        </w:rPr>
        <w:t>Optimización y ampliación del sistema de acueducto</w:t>
        <w:br/>
        <w:t>del municipio de Tadó (Chocó)</w:t>
      </w:r>
    </w:p>
    <w:p/>
    <w:p>
      <w:pPr>
        <w:jc w:val="center"/>
      </w:pPr>
      <w:r>
        <w:rPr>
          <w:i/>
          <w:sz w:val="18"/>
        </w:rPr>
        <w:t>Caso real. Cifras monetarias en millones de pesos colombianos (COP MM) salvo indicación contraria.</w:t>
      </w:r>
    </w:p>
    <w:p/>
    <w:p>
      <w:pPr>
        <w:pStyle w:val="Heading1"/>
      </w:pPr>
      <w:r>
        <w:rPr>
          <w:color w:val="1F4E79"/>
          <w:sz w:val="30"/>
        </w:rPr>
        <w:t>1. Resumen Ejecutivo</w:t>
      </w:r>
    </w:p>
    <w:p>
      <w:pPr>
        <w:jc w:val="both"/>
      </w:pPr>
      <w:r>
        <w:rPr>
          <w:i w:val="0"/>
          <w:sz w:val="22"/>
        </w:rPr>
        <w:t>Tadó es un municipio del occidente del Chocó, situado sobre el río San Juan, con 17.000 habitantes según el Censo Nacional de Población y Vivienda 2018 (DANE) y uno de los regímenes de lluvia más altos del planeta (~7.900 mm/año). Pese a esa abundancia de agua, la población ha carecido históricamente de agua potable continua y de calidad: baja cobertura, discontinuidad en el servicio y un tratamiento insuficiente frente a la alta turbiedad del agua cruda durante las crecientes.</w:t>
      </w:r>
    </w:p>
    <w:p>
      <w:pPr>
        <w:jc w:val="both"/>
      </w:pPr>
      <w:r>
        <w:rPr>
          <w:i w:val="0"/>
          <w:sz w:val="22"/>
        </w:rPr>
        <w:t>El proyecto consiste en optimizar y ampliar el sistema de acueducto de la cabecera urbana —incluida una PTAP dimensionada para 45 L/s según la Resolución 0330 de 2017 (RAS)— para alcanzar continuidad 24 horas y cobertura cercana al 98 %, en línea con el proyecto real ejecutado por el Ministerio de Vivienda (MinVivienda) con cooperación española, cuya inversión fue de COP 19.971 millones.</w:t>
      </w:r>
    </w:p>
    <w:p>
      <w:pPr>
        <w:jc w:val="both"/>
      </w:pPr>
      <w:r>
        <w:rPr>
          <w:i w:val="0"/>
          <w:sz w:val="22"/>
        </w:rPr>
        <w:t>Como ocurre con casi todos los acueductos municipales pequeños en Colombia, el proyecto NO es rentable solo con tarifas (VPN financiero negativo). Su justificación es socioeconómica: con la tasa social del 9 % (DNP) el VPN es ampliamente positivo y la relación beneficio/costo es 1,56. Por eso se cofinancia con recursos públicos (SGR, Plan Departamental de Aguas, SGP y cooperación), exactamente como sucedió en Tadó.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Indicador</w:t>
            </w:r>
          </w:p>
        </w:tc>
        <w:tc>
          <w:tcPr>
            <w:tcW w:type="dxa" w:w="4320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Valor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20"/>
              </w:rPr>
              <w:t>Caudal de diseño (QMD, Res. 0330)</w:t>
            </w:r>
          </w:p>
        </w:tc>
        <w:tc>
          <w:tcPr>
            <w:tcW w:type="dxa" w:w="4320"/>
          </w:tcPr>
          <w:p>
            <w:pPr>
              <w:jc w:val="right"/>
            </w:pPr>
            <w:r/>
            <w:r>
              <w:rPr>
                <w:b w:val="0"/>
                <w:sz w:val="20"/>
              </w:rPr>
              <w:t>41,5 L/s → PTAP de 45 L/s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20"/>
              </w:rPr>
              <w:t>CAPEX total (anclado a inversión real)</w:t>
            </w:r>
          </w:p>
        </w:tc>
        <w:tc>
          <w:tcPr>
            <w:tcW w:type="dxa" w:w="4320"/>
          </w:tcPr>
          <w:p>
            <w:pPr>
              <w:jc w:val="right"/>
            </w:pPr>
            <w:r/>
            <w:r>
              <w:rPr>
                <w:b w:val="0"/>
                <w:sz w:val="20"/>
              </w:rPr>
              <w:t>COP 19.971 MM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20"/>
              </w:rPr>
              <w:t>Estructura de financiación</w:t>
            </w:r>
          </w:p>
        </w:tc>
        <w:tc>
          <w:tcPr>
            <w:tcW w:type="dxa" w:w="4320"/>
          </w:tcPr>
          <w:p>
            <w:pPr>
              <w:jc w:val="right"/>
            </w:pPr>
            <w:r/>
            <w:r>
              <w:rPr>
                <w:b w:val="0"/>
                <w:sz w:val="20"/>
              </w:rPr>
              <w:t>80 % público / 10 % deuda / 10 % equity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20"/>
              </w:rPr>
              <w:t>WACC</w:t>
            </w:r>
          </w:p>
        </w:tc>
        <w:tc>
          <w:tcPr>
            <w:tcW w:type="dxa" w:w="4320"/>
          </w:tcPr>
          <w:p>
            <w:pPr>
              <w:jc w:val="right"/>
            </w:pPr>
            <w:r/>
            <w:r>
              <w:rPr>
                <w:b w:val="0"/>
                <w:sz w:val="20"/>
              </w:rPr>
              <w:t>9,31 %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20"/>
              </w:rPr>
              <w:t>VPN del proyecto (solo tarifas) @WACC</w:t>
            </w:r>
          </w:p>
        </w:tc>
        <w:tc>
          <w:tcPr>
            <w:tcW w:type="dxa" w:w="4320"/>
          </w:tcPr>
          <w:p>
            <w:pPr>
              <w:jc w:val="right"/>
            </w:pPr>
            <w:r/>
            <w:r>
              <w:rPr>
                <w:b w:val="0"/>
                <w:sz w:val="20"/>
              </w:rPr>
              <w:t>−15.487 MM (negativo)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20"/>
              </w:rPr>
              <w:t>TIR del inversionista (con aporte público)</w:t>
            </w:r>
          </w:p>
        </w:tc>
        <w:tc>
          <w:tcPr>
            <w:tcW w:type="dxa" w:w="4320"/>
          </w:tcPr>
          <w:p>
            <w:pPr>
              <w:jc w:val="right"/>
            </w:pPr>
            <w:r/>
            <w:r>
              <w:rPr>
                <w:b w:val="0"/>
                <w:sz w:val="20"/>
              </w:rPr>
              <w:t>10,46 %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20"/>
              </w:rPr>
              <w:t>VPN socioeconómico @ tasa social 9 % (DNP)</w:t>
            </w:r>
          </w:p>
        </w:tc>
        <w:tc>
          <w:tcPr>
            <w:tcW w:type="dxa" w:w="4320"/>
          </w:tcPr>
          <w:p>
            <w:pPr>
              <w:jc w:val="right"/>
            </w:pPr>
            <w:r/>
            <w:r>
              <w:rPr>
                <w:b w:val="0"/>
                <w:sz w:val="20"/>
              </w:rPr>
              <w:t>+19.626 MM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20"/>
              </w:rPr>
              <w:t>Relación Beneficio/Costo (social)</w:t>
            </w:r>
          </w:p>
        </w:tc>
        <w:tc>
          <w:tcPr>
            <w:tcW w:type="dxa" w:w="4320"/>
          </w:tcPr>
          <w:p>
            <w:pPr>
              <w:jc w:val="right"/>
            </w:pPr>
            <w:r/>
            <w:r>
              <w:rPr>
                <w:b w:val="0"/>
                <w:sz w:val="20"/>
              </w:rPr>
              <w:t>1,56</w:t>
            </w:r>
          </w:p>
        </w:tc>
      </w:tr>
    </w:tbl>
    <w:p/>
    <w:p>
      <w:pPr>
        <w:pStyle w:val="Heading1"/>
      </w:pPr>
      <w:r>
        <w:rPr>
          <w:color w:val="1F4E79"/>
          <w:sz w:val="30"/>
        </w:rPr>
        <w:t>2. Árbol de Problemas</w:t>
      </w:r>
    </w:p>
    <w:p>
      <w:pPr>
        <w:jc w:val="both"/>
      </w:pPr>
      <w:r>
        <w:rPr>
          <w:i w:val="0"/>
          <w:sz w:val="22"/>
        </w:rPr>
        <w:t>Problema central: servicio de acueducto deficiente, discontinuo y con agua no apta en la cabecera de Tadó, pese a estar en una de las zonas más lluviosas del planeta. Los efectos se ubican en la parte superior y las causas en la parte inferior.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82501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bol_problema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250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rPr>
          <w:color w:val="1F4E79"/>
          <w:sz w:val="30"/>
        </w:rPr>
        <w:t>3. Árbol de Objetivos</w:t>
      </w:r>
    </w:p>
    <w:p>
      <w:pPr>
        <w:jc w:val="both"/>
      </w:pPr>
      <w:r>
        <w:rPr>
          <w:i w:val="0"/>
          <w:sz w:val="22"/>
        </w:rPr>
        <w:t>Objetivo central: garantizar agua potable continua (24 h) y de calidad para la población de la cabecera de Tadó. Es el espejo positivo del árbol de problemas: cada causa se convierte en un medio y cada efecto en un fin.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82501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bol_objetivo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250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rPr>
          <w:color w:val="1F4E79"/>
          <w:sz w:val="30"/>
        </w:rPr>
        <w:t>4. Matriz de Marco Lógico (MML)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Nivel</w:t>
            </w:r>
          </w:p>
        </w:tc>
        <w:tc>
          <w:tcPr>
            <w:tcW w:type="dxa" w:w="1728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Resumen narrativo</w:t>
            </w:r>
          </w:p>
        </w:tc>
        <w:tc>
          <w:tcPr>
            <w:tcW w:type="dxa" w:w="1728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Indicadores</w:t>
            </w:r>
          </w:p>
        </w:tc>
        <w:tc>
          <w:tcPr>
            <w:tcW w:type="dxa" w:w="1728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Medios de verificación</w:t>
            </w:r>
          </w:p>
        </w:tc>
        <w:tc>
          <w:tcPr>
            <w:tcW w:type="dxa" w:w="1728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Supuestos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FIN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Contribuir al desarrollo humano y a la reducción de la pobreza en Tadó.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IPM municipal; cobertura de necesidades básicas de agua.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DANE (IPM), TerriData, Plan de Desarrollo.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Estabilidad institucional y de orden público.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PROPÓSITO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La población de la cabecera dispone de agua potable continua y de calidad.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Continuidad ≥ 24 h; IRCA ≤ 5 (apta); cobertura ≥ 98 %.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Reportes SUI/Superservicios; informes IRCA.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La comunidad se conecta y paga la tarifa.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COMPONENTES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1) PTAP 45 L/s. 2) Redes rehabilitadas y sectorizadas. 3) Micromedición.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Capacidad instalada; km de red; IANC ≤ 25 %; N° de medidores.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Actas de obra; catastro de redes; SUI.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Suministro eléctrico/insumos estable; predios disponibles.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ACTIVIDADES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Estudios y diseños; obras civiles; equipos; interventoría; gestión ambiental y social.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Avance físico y financiero (%); cumplimiento del cronograma.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Informes de interventoría; ejecución presupuestal.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Recursos cofinanciados desembolsados a tiempo.</w:t>
            </w:r>
          </w:p>
        </w:tc>
      </w:tr>
    </w:tbl>
    <w:p/>
    <w:p>
      <w:pPr>
        <w:pStyle w:val="Heading1"/>
      </w:pPr>
      <w:r>
        <w:rPr>
          <w:color w:val="1F4E79"/>
          <w:sz w:val="30"/>
        </w:rPr>
        <w:t>5. Solución de Ingeniería Propuesta</w:t>
      </w:r>
    </w:p>
    <w:p>
      <w:pPr>
        <w:pStyle w:val="Heading2"/>
      </w:pPr>
      <w:r>
        <w:rPr>
          <w:color w:val="1F4E79"/>
          <w:sz w:val="24"/>
        </w:rPr>
        <w:t>5.1 Diseño de caudal (Resolución 0330 de 2017 — RAS)</w:t>
      </w:r>
    </w:p>
    <w:p>
      <w:pPr>
        <w:jc w:val="both"/>
      </w:pPr>
      <w:r>
        <w:rPr>
          <w:i w:val="0"/>
          <w:sz w:val="22"/>
        </w:rPr>
        <w:t>La Resolución 0330 de 2017 (RAS) fija la metodología de diseño. Con población municipal de 17.000 hab (CNPV 2018, DANE), fracción urbana estimada del 60 % y crecimiento geométrico del 1,2 % anual, la población de diseño a 25 años es ≈ 14.764 hab. Para clima cálido (&lt; 1.000 m s.n.m.) la dotación neta es 140 L/hab·día y las pérdidas máximas admisibles 25 %, de donde la dotación bruta es 186,7 L/hab·día.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Caudal</w:t>
            </w:r>
          </w:p>
        </w:tc>
        <w:tc>
          <w:tcPr>
            <w:tcW w:type="dxa" w:w="2880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Fórmula</w:t>
            </w:r>
          </w:p>
        </w:tc>
        <w:tc>
          <w:tcPr>
            <w:tcW w:type="dxa" w:w="2880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Valor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Medio diario (Qmd)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Pob · Dot.bruta / 86.400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rPr>
                <w:b w:val="0"/>
                <w:sz w:val="18"/>
              </w:rPr>
              <w:t>31,9 L/s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Máximo diario (QMD)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Qmd · k1 (1,30)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rPr>
                <w:b w:val="0"/>
                <w:sz w:val="18"/>
              </w:rPr>
              <w:t>41,5 L/s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Máximo horario (QMH)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QMD · k2 (1,60)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rPr>
                <w:b w:val="0"/>
                <w:sz w:val="18"/>
              </w:rPr>
              <w:t>66,4 L/s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Capacidad PTAP seleccionada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rPr>
                <w:b w:val="0"/>
                <w:sz w:val="18"/>
              </w:rPr>
              <w:t>45 L/s</w:t>
            </w:r>
          </w:p>
        </w:tc>
      </w:tr>
    </w:tbl>
    <w:p/>
    <w:p>
      <w:pPr>
        <w:pStyle w:val="Heading2"/>
      </w:pPr>
      <w:r>
        <w:rPr>
          <w:color w:val="1F4E79"/>
          <w:sz w:val="24"/>
        </w:rPr>
        <w:t>5.2 Esquema del sistema</w:t>
      </w:r>
    </w:p>
    <w:p>
      <w:pPr>
        <w:jc w:val="both"/>
      </w:pPr>
      <w:r>
        <w:rPr>
          <w:i w:val="0"/>
          <w:sz w:val="22"/>
        </w:rPr>
        <w:t>1. Captación (bocatoma) sobre el río San Juan, con manejo de crecientes y sólidos gruesos. 2. Línea de aducción hasta la PTAP. 3. PTAP convencional de 45 L/s con tren robusto frente a alta turbiedad: pretratamiento/desarenado → coagulación-floculación → sedimentación → filtración → desinfección; calidad verificada con el IRCA (Resolución 2115 de 2007). 4. Almacenamiento (tanques) y estaciones de bombeo para presión y continuidad. 5. Redes de distribución rehabilitadas y sectorizadas, con micromedición para reducir el IANC.</w:t>
      </w:r>
    </w:p>
    <w:p>
      <w:pPr>
        <w:pStyle w:val="Heading2"/>
      </w:pPr>
      <w:r>
        <w:rPr>
          <w:color w:val="1F4E79"/>
          <w:sz w:val="24"/>
        </w:rPr>
        <w:t>5.3 Presupuesto / CAPEX por capítulos</w:t>
      </w:r>
    </w:p>
    <w:p>
      <w:pPr>
        <w:jc w:val="both"/>
      </w:pPr>
      <w:r>
        <w:rPr>
          <w:i w:val="0"/>
          <w:sz w:val="22"/>
        </w:rPr>
        <w:t>El CAPEX total se ancla a la inversión real del proyecto (COP 19.971 MM). El desglose por capítulos es una estimación consistente con ese total y con el alcance del proyecto.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Capítulo</w:t>
            </w:r>
          </w:p>
        </w:tc>
        <w:tc>
          <w:tcPr>
            <w:tcW w:type="dxa" w:w="4320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COP MM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Captación (bocatoma) y línea de aducción</w:t>
            </w:r>
          </w:p>
        </w:tc>
        <w:tc>
          <w:tcPr>
            <w:tcW w:type="dxa" w:w="4320"/>
          </w:tcPr>
          <w:p>
            <w:pPr>
              <w:jc w:val="right"/>
            </w:pPr>
            <w:r/>
            <w:r>
              <w:rPr>
                <w:b w:val="0"/>
                <w:sz w:val="18"/>
              </w:rPr>
              <w:t>2.400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PTAP 45 L/s (obra civil + equipos)</w:t>
            </w:r>
          </w:p>
        </w:tc>
        <w:tc>
          <w:tcPr>
            <w:tcW w:type="dxa" w:w="4320"/>
          </w:tcPr>
          <w:p>
            <w:pPr>
              <w:jc w:val="right"/>
            </w:pPr>
            <w:r/>
            <w:r>
              <w:rPr>
                <w:b w:val="0"/>
                <w:sz w:val="18"/>
              </w:rPr>
              <w:t>6.300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Almacenamiento (tanques) y estaciones de bombeo</w:t>
            </w:r>
          </w:p>
        </w:tc>
        <w:tc>
          <w:tcPr>
            <w:tcW w:type="dxa" w:w="4320"/>
          </w:tcPr>
          <w:p>
            <w:pPr>
              <w:jc w:val="right"/>
            </w:pPr>
            <w:r/>
            <w:r>
              <w:rPr>
                <w:b w:val="0"/>
                <w:sz w:val="18"/>
              </w:rPr>
              <w:t>2.800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Redes de distribución, conexiones y micromedición</w:t>
            </w:r>
          </w:p>
        </w:tc>
        <w:tc>
          <w:tcPr>
            <w:tcW w:type="dxa" w:w="4320"/>
          </w:tcPr>
          <w:p>
            <w:pPr>
              <w:jc w:val="right"/>
            </w:pPr>
            <w:r/>
            <w:r>
              <w:rPr>
                <w:b w:val="0"/>
                <w:sz w:val="18"/>
              </w:rPr>
              <w:t>4.200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Optimización del alcantarillado (componente asociado)</w:t>
            </w:r>
          </w:p>
        </w:tc>
        <w:tc>
          <w:tcPr>
            <w:tcW w:type="dxa" w:w="4320"/>
          </w:tcPr>
          <w:p>
            <w:pPr>
              <w:jc w:val="right"/>
            </w:pPr>
            <w:r/>
            <w:r>
              <w:rPr>
                <w:b w:val="0"/>
                <w:sz w:val="18"/>
              </w:rPr>
              <w:t>2.471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Estudios, diseños, interventoría y gestión ambiental/social</w:t>
            </w:r>
          </w:p>
        </w:tc>
        <w:tc>
          <w:tcPr>
            <w:tcW w:type="dxa" w:w="4320"/>
          </w:tcPr>
          <w:p>
            <w:pPr>
              <w:jc w:val="right"/>
            </w:pPr>
            <w:r/>
            <w:r>
              <w:rPr>
                <w:b w:val="0"/>
                <w:sz w:val="18"/>
              </w:rPr>
              <w:t>1.800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TOTAL CAPEX</w:t>
            </w:r>
          </w:p>
        </w:tc>
        <w:tc>
          <w:tcPr>
            <w:tcW w:type="dxa" w:w="4320"/>
          </w:tcPr>
          <w:p>
            <w:pPr>
              <w:jc w:val="right"/>
            </w:pPr>
            <w:r/>
            <w:r>
              <w:rPr>
                <w:b w:val="0"/>
                <w:sz w:val="18"/>
              </w:rPr>
              <w:t>19.971</w:t>
            </w:r>
          </w:p>
        </w:tc>
      </w:tr>
    </w:tbl>
    <w:p/>
    <w:p>
      <w:pPr>
        <w:pStyle w:val="Heading1"/>
      </w:pPr>
      <w:r>
        <w:rPr>
          <w:color w:val="1F4E79"/>
          <w:sz w:val="30"/>
        </w:rPr>
        <w:t>6. Análisis Financiero</w:t>
      </w:r>
    </w:p>
    <w:p>
      <w:pPr>
        <w:pStyle w:val="Heading2"/>
      </w:pPr>
      <w:r>
        <w:rPr>
          <w:color w:val="1F4E79"/>
          <w:sz w:val="24"/>
        </w:rPr>
        <w:t>6.1 Estructura de financiación y WACC</w:t>
      </w:r>
    </w:p>
    <w:p>
      <w:pPr>
        <w:jc w:val="both"/>
      </w:pPr>
      <w:r>
        <w:rPr>
          <w:i w:val="0"/>
          <w:sz w:val="22"/>
        </w:rPr>
        <w:t>Los acueductos municipales pequeños no se financian con deuda pura: dependen de aportes públicos no reembolsables (SGR, PDA del Chocó, SGP, cooperación). Se adopta la estructura típica 80 % público / 10 % deuda / 10 % equity.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Fuente</w:t>
            </w:r>
          </w:p>
        </w:tc>
        <w:tc>
          <w:tcPr>
            <w:tcW w:type="dxa" w:w="2160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%</w:t>
            </w:r>
          </w:p>
        </w:tc>
        <w:tc>
          <w:tcPr>
            <w:tcW w:type="dxa" w:w="2160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COP MM</w:t>
            </w:r>
          </w:p>
        </w:tc>
        <w:tc>
          <w:tcPr>
            <w:tcW w:type="dxa" w:w="2160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Costo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Aporte público (SGR/PDA/MinVivienda/cooperación)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80 %</w:t>
            </w:r>
          </w:p>
        </w:tc>
        <w:tc>
          <w:tcPr>
            <w:tcW w:type="dxa" w:w="2160"/>
          </w:tcPr>
          <w:p>
            <w:pPr>
              <w:jc w:val="right"/>
            </w:pPr>
            <w:r/>
            <w:r>
              <w:rPr>
                <w:b w:val="0"/>
                <w:sz w:val="18"/>
              </w:rPr>
              <w:t>15.977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tasa social 9 %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Deuda (banca de desarrollo, FINDETER)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10 %</w:t>
            </w:r>
          </w:p>
        </w:tc>
        <w:tc>
          <w:tcPr>
            <w:tcW w:type="dxa" w:w="2160"/>
          </w:tcPr>
          <w:p>
            <w:pPr>
              <w:jc w:val="right"/>
            </w:pPr>
            <w:r/>
            <w:r>
              <w:rPr>
                <w:b w:val="0"/>
                <w:sz w:val="18"/>
              </w:rPr>
              <w:t>1.997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Kd = 11 %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Equity (operador/municipio)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10 %</w:t>
            </w:r>
          </w:p>
        </w:tc>
        <w:tc>
          <w:tcPr>
            <w:tcW w:type="dxa" w:w="2160"/>
          </w:tcPr>
          <w:p>
            <w:pPr>
              <w:jc w:val="right"/>
            </w:pPr>
            <w:r/>
            <w:r>
              <w:rPr>
                <w:b w:val="0"/>
                <w:sz w:val="18"/>
              </w:rPr>
              <w:t>1.997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Ke = 14 %</w:t>
            </w:r>
          </w:p>
        </w:tc>
      </w:tr>
    </w:tbl>
    <w:p/>
    <w:p>
      <w:pPr>
        <w:jc w:val="both"/>
      </w:pPr>
      <w:r>
        <w:rPr>
          <w:i w:val="0"/>
          <w:sz w:val="22"/>
        </w:rPr>
        <w:t>WACC = 0,80·9 % + 0,10·14 % + 0,10·11 %·(1 − 0,35) = 9,31 %. El costo de oportunidad del aporte público se toma como la tasa social del DNP (9 %); la deuda incluye escudo fiscal con renta del 35 %.</w:t>
      </w:r>
    </w:p>
    <w:p>
      <w:pPr>
        <w:pStyle w:val="Heading2"/>
      </w:pPr>
      <w:r>
        <w:rPr>
          <w:color w:val="1F4E79"/>
          <w:sz w:val="24"/>
        </w:rPr>
        <w:t>6.2 Indicadores y evaluaciones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Evaluación</w:t>
            </w:r>
          </w:p>
        </w:tc>
        <w:tc>
          <w:tcPr>
            <w:tcW w:type="dxa" w:w="2880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Tasa de descuento</w:t>
            </w:r>
          </w:p>
        </w:tc>
        <w:tc>
          <w:tcPr>
            <w:tcW w:type="dxa" w:w="2880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Resultado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1) Financiera del proyecto (solo tarifas)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WACC = 9,31 %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VPN = −15.487 MM; TIR = −2,45 %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2) Del inversionista (deuda + equity)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Ke = 14 %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VPN = −730 MM; TIR = 10,46 %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3) Socioeconómica (tasa social DNP)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9 %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VPN = +19.626 MM; B/C = 1,56</w:t>
            </w:r>
          </w:p>
        </w:tc>
      </w:tr>
    </w:tbl>
    <w:p/>
    <w:p>
      <w:pPr>
        <w:jc w:val="both"/>
      </w:pPr>
      <w:r>
        <w:rPr>
          <w:i w:val="0"/>
          <w:sz w:val="22"/>
        </w:rPr>
        <w:t>El proyecto no es rentable solo con tarifas (norma en acueductos del Pacífico). Es socialmente rentable: el VPN económico es ampliamente positivo y la relación beneficio/costo (1,56) supera 1, lo que justifica la inversión pública, coherente con el estándar internacional de la OMS.</w:t>
      </w:r>
    </w:p>
    <w:p>
      <w:pPr>
        <w:pStyle w:val="Heading2"/>
      </w:pPr>
      <w:r>
        <w:rPr>
          <w:color w:val="1F4E79"/>
          <w:sz w:val="24"/>
        </w:rPr>
        <w:t>6.3 Análisis de sensibilidad — aporte público vs. TIR del inversionista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Aporte público</w:t>
            </w:r>
          </w:p>
        </w:tc>
        <w:tc>
          <w:tcPr>
            <w:tcW w:type="dxa" w:w="4320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TIR inversionista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0 %</w:t>
            </w:r>
          </w:p>
        </w:tc>
        <w:tc>
          <w:tcPr>
            <w:tcW w:type="dxa" w:w="4320"/>
          </w:tcPr>
          <w:p>
            <w:pPr>
              <w:jc w:val="right"/>
            </w:pPr>
            <w:r/>
            <w:r>
              <w:rPr>
                <w:b w:val="0"/>
                <w:sz w:val="18"/>
              </w:rPr>
              <w:t>−5,40 %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40 %</w:t>
            </w:r>
          </w:p>
        </w:tc>
        <w:tc>
          <w:tcPr>
            <w:tcW w:type="dxa" w:w="4320"/>
          </w:tcPr>
          <w:p>
            <w:pPr>
              <w:jc w:val="right"/>
            </w:pPr>
            <w:r/>
            <w:r>
              <w:rPr>
                <w:b w:val="0"/>
                <w:sz w:val="18"/>
              </w:rPr>
              <w:t>−1,46 %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60 %</w:t>
            </w:r>
          </w:p>
        </w:tc>
        <w:tc>
          <w:tcPr>
            <w:tcW w:type="dxa" w:w="4320"/>
          </w:tcPr>
          <w:p>
            <w:pPr>
              <w:jc w:val="right"/>
            </w:pPr>
            <w:r/>
            <w:r>
              <w:rPr>
                <w:b w:val="0"/>
                <w:sz w:val="18"/>
              </w:rPr>
              <w:t>+2,18 %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70 %</w:t>
            </w:r>
          </w:p>
        </w:tc>
        <w:tc>
          <w:tcPr>
            <w:tcW w:type="dxa" w:w="4320"/>
          </w:tcPr>
          <w:p>
            <w:pPr>
              <w:jc w:val="right"/>
            </w:pPr>
            <w:r/>
            <w:r>
              <w:rPr>
                <w:b w:val="0"/>
                <w:sz w:val="18"/>
              </w:rPr>
              <w:t>+5,20 %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80 %</w:t>
            </w:r>
          </w:p>
        </w:tc>
        <w:tc>
          <w:tcPr>
            <w:tcW w:type="dxa" w:w="4320"/>
          </w:tcPr>
          <w:p>
            <w:pPr>
              <w:jc w:val="right"/>
            </w:pPr>
            <w:r/>
            <w:r>
              <w:rPr>
                <w:b w:val="0"/>
                <w:sz w:val="18"/>
              </w:rPr>
              <w:t>+10,46 %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90 %</w:t>
            </w:r>
          </w:p>
        </w:tc>
        <w:tc>
          <w:tcPr>
            <w:tcW w:type="dxa" w:w="4320"/>
          </w:tcPr>
          <w:p>
            <w:pPr>
              <w:jc w:val="right"/>
            </w:pPr>
            <w:r/>
            <w:r>
              <w:rPr>
                <w:b w:val="0"/>
                <w:sz w:val="18"/>
              </w:rPr>
              <w:t>+25,18 %</w:t>
            </w:r>
          </w:p>
        </w:tc>
      </w:tr>
    </w:tbl>
    <w:p/>
    <w:p>
      <w:pPr>
        <w:jc w:val="both"/>
      </w:pPr>
      <w:r>
        <w:rPr>
          <w:i w:val="0"/>
          <w:sz w:val="22"/>
        </w:rPr>
        <w:t>Sin aporte público el proyecto es inviable para cualquier inversionista. Solo resulta atractivo para un operador privado con aporte público muy alto (≥ 85–90 %), o debe ser operado por una empresa pública/comunitaria que no exige el 14 % de rentabilidad. Esto explica por qué lo financió MinVivienda con cooperación internacional.</w:t>
      </w:r>
    </w:p>
    <w:p>
      <w:pPr>
        <w:pStyle w:val="Heading2"/>
      </w:pPr>
      <w:r>
        <w:rPr>
          <w:color w:val="1F4E79"/>
          <w:sz w:val="24"/>
        </w:rPr>
        <w:t>6.4 Flujos de caja (Proyecto, Inversionista, Banco y Social)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Año</w:t>
            </w:r>
          </w:p>
        </w:tc>
        <w:tc>
          <w:tcPr>
            <w:tcW w:type="dxa" w:w="960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Ingresos</w:t>
            </w:r>
          </w:p>
        </w:tc>
        <w:tc>
          <w:tcPr>
            <w:tcW w:type="dxa" w:w="960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OPEX</w:t>
            </w:r>
          </w:p>
        </w:tc>
        <w:tc>
          <w:tcPr>
            <w:tcW w:type="dxa" w:w="960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EBITDA</w:t>
            </w:r>
          </w:p>
        </w:tc>
        <w:tc>
          <w:tcPr>
            <w:tcW w:type="dxa" w:w="960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FC Proyecto</w:t>
            </w:r>
          </w:p>
        </w:tc>
        <w:tc>
          <w:tcPr>
            <w:tcW w:type="dxa" w:w="960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FC Inversion.</w:t>
            </w:r>
          </w:p>
        </w:tc>
        <w:tc>
          <w:tcPr>
            <w:tcW w:type="dxa" w:w="960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FC Banco</w:t>
            </w:r>
          </w:p>
        </w:tc>
        <w:tc>
          <w:tcPr>
            <w:tcW w:type="dxa" w:w="960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Benef. social</w:t>
            </w:r>
          </w:p>
        </w:tc>
        <w:tc>
          <w:tcPr>
            <w:tcW w:type="dxa" w:w="960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FC Social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rPr>
                <w:b w:val="0"/>
                <w:sz w:val="16"/>
              </w:rPr>
              <w:t>—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rPr>
                <w:b w:val="0"/>
                <w:sz w:val="16"/>
              </w:rPr>
              <w:t>—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rPr>
                <w:b w:val="0"/>
                <w:sz w:val="16"/>
              </w:rPr>
              <w:t>—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rPr>
                <w:b w:val="0"/>
                <w:sz w:val="16"/>
              </w:rPr>
              <w:t>-19.971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rPr>
                <w:b w:val="0"/>
                <w:sz w:val="16"/>
              </w:rPr>
              <w:t>-1.997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rPr>
                <w:b w:val="0"/>
                <w:sz w:val="16"/>
              </w:rPr>
              <w:t>1.997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rPr>
                <w:b w:val="0"/>
                <w:sz w:val="16"/>
              </w:rPr>
              <w:t>—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rPr>
                <w:b w:val="0"/>
                <w:sz w:val="16"/>
              </w:rPr>
              <w:t>-19.971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rPr>
                <w:b w:val="0"/>
                <w:sz w:val="16"/>
              </w:rPr>
              <w:t>1.500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rPr>
                <w:b w:val="0"/>
                <w:sz w:val="16"/>
              </w:rPr>
              <w:t>1.150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rPr>
                <w:b w:val="0"/>
                <w:sz w:val="16"/>
              </w:rPr>
              <w:t>350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rPr>
                <w:b w:val="0"/>
                <w:sz w:val="16"/>
              </w:rPr>
              <w:t>350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rPr>
                <w:b w:val="0"/>
                <w:sz w:val="16"/>
              </w:rPr>
              <w:t>11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rPr>
                <w:b w:val="0"/>
                <w:sz w:val="16"/>
              </w:rPr>
              <w:t>-339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rPr>
                <w:b w:val="0"/>
                <w:sz w:val="16"/>
              </w:rPr>
              <w:t>4.150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rPr>
                <w:b w:val="0"/>
                <w:sz w:val="16"/>
              </w:rPr>
              <w:t>3.000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rPr>
                <w:b w:val="0"/>
                <w:sz w:val="16"/>
              </w:rPr>
              <w:t>1.552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rPr>
                <w:b w:val="0"/>
                <w:sz w:val="16"/>
              </w:rPr>
              <w:t>1.190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rPr>
                <w:b w:val="0"/>
                <w:sz w:val="16"/>
              </w:rPr>
              <w:t>362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rPr>
                <w:b w:val="0"/>
                <w:sz w:val="16"/>
              </w:rPr>
              <w:t>362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rPr>
                <w:b w:val="0"/>
                <w:sz w:val="16"/>
              </w:rPr>
              <w:t>23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rPr>
                <w:b w:val="0"/>
                <w:sz w:val="16"/>
              </w:rPr>
              <w:t>-339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rPr>
                <w:b w:val="0"/>
                <w:sz w:val="16"/>
              </w:rPr>
              <w:t>4.295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rPr>
                <w:b w:val="0"/>
                <w:sz w:val="16"/>
              </w:rPr>
              <w:t>3.105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rPr>
                <w:b w:val="0"/>
                <w:sz w:val="16"/>
              </w:rPr>
              <w:t>1.607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rPr>
                <w:b w:val="0"/>
                <w:sz w:val="16"/>
              </w:rPr>
              <w:t>1.232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rPr>
                <w:b w:val="0"/>
                <w:sz w:val="16"/>
              </w:rPr>
              <w:t>375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rPr>
                <w:b w:val="0"/>
                <w:sz w:val="16"/>
              </w:rPr>
              <w:t>375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rPr>
                <w:b w:val="0"/>
                <w:sz w:val="16"/>
              </w:rPr>
              <w:t>36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rPr>
                <w:b w:val="0"/>
                <w:sz w:val="16"/>
              </w:rPr>
              <w:t>-339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rPr>
                <w:b w:val="0"/>
                <w:sz w:val="16"/>
              </w:rPr>
              <w:t>4.446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rPr>
                <w:b w:val="0"/>
                <w:sz w:val="16"/>
              </w:rPr>
              <w:t>3.214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rPr>
                <w:b w:val="0"/>
                <w:sz w:val="16"/>
              </w:rPr>
              <w:t>1.663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rPr>
                <w:b w:val="0"/>
                <w:sz w:val="16"/>
              </w:rPr>
              <w:t>1.275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rPr>
                <w:b w:val="0"/>
                <w:sz w:val="16"/>
              </w:rPr>
              <w:t>388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rPr>
                <w:b w:val="0"/>
                <w:sz w:val="16"/>
              </w:rPr>
              <w:t>388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rPr>
                <w:b w:val="0"/>
                <w:sz w:val="16"/>
              </w:rPr>
              <w:t>49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rPr>
                <w:b w:val="0"/>
                <w:sz w:val="16"/>
              </w:rPr>
              <w:t>-339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rPr>
                <w:b w:val="0"/>
                <w:sz w:val="16"/>
              </w:rPr>
              <w:t>4.601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rPr>
                <w:b w:val="0"/>
                <w:sz w:val="16"/>
              </w:rPr>
              <w:t>3.326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rPr>
                <w:b w:val="0"/>
                <w:sz w:val="16"/>
              </w:rPr>
              <w:t>1.721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rPr>
                <w:b w:val="0"/>
                <w:sz w:val="16"/>
              </w:rPr>
              <w:t>1.320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rPr>
                <w:b w:val="0"/>
                <w:sz w:val="16"/>
              </w:rPr>
              <w:t>402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rPr>
                <w:b w:val="0"/>
                <w:sz w:val="16"/>
              </w:rPr>
              <w:t>402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rPr>
                <w:b w:val="0"/>
                <w:sz w:val="16"/>
              </w:rPr>
              <w:t>62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rPr>
                <w:b w:val="0"/>
                <w:sz w:val="16"/>
              </w:rPr>
              <w:t>-339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rPr>
                <w:b w:val="0"/>
                <w:sz w:val="16"/>
              </w:rPr>
              <w:t>4.762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rPr>
                <w:b w:val="0"/>
                <w:sz w:val="16"/>
              </w:rPr>
              <w:t>3.443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6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rPr>
                <w:b w:val="0"/>
                <w:sz w:val="16"/>
              </w:rPr>
              <w:t>1.782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rPr>
                <w:b w:val="0"/>
                <w:sz w:val="16"/>
              </w:rPr>
              <w:t>1.366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rPr>
                <w:b w:val="0"/>
                <w:sz w:val="16"/>
              </w:rPr>
              <w:t>416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rPr>
                <w:b w:val="0"/>
                <w:sz w:val="16"/>
              </w:rPr>
              <w:t>416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rPr>
                <w:b w:val="0"/>
                <w:sz w:val="16"/>
              </w:rPr>
              <w:t>77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rPr>
                <w:b w:val="0"/>
                <w:sz w:val="16"/>
              </w:rPr>
              <w:t>-339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rPr>
                <w:b w:val="0"/>
                <w:sz w:val="16"/>
              </w:rPr>
              <w:t>4.929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rPr>
                <w:b w:val="0"/>
                <w:sz w:val="16"/>
              </w:rPr>
              <w:t>3.563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7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rPr>
                <w:b w:val="0"/>
                <w:sz w:val="16"/>
              </w:rPr>
              <w:t>1.844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rPr>
                <w:b w:val="0"/>
                <w:sz w:val="16"/>
              </w:rPr>
              <w:t>1.414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rPr>
                <w:b w:val="0"/>
                <w:sz w:val="16"/>
              </w:rPr>
              <w:t>430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rPr>
                <w:b w:val="0"/>
                <w:sz w:val="16"/>
              </w:rPr>
              <w:t>430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rPr>
                <w:b w:val="0"/>
                <w:sz w:val="16"/>
              </w:rPr>
              <w:t>91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rPr>
                <w:b w:val="0"/>
                <w:sz w:val="16"/>
              </w:rPr>
              <w:t>-339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rPr>
                <w:b w:val="0"/>
                <w:sz w:val="16"/>
              </w:rPr>
              <w:t>5.101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rPr>
                <w:b w:val="0"/>
                <w:sz w:val="16"/>
              </w:rPr>
              <w:t>3.688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8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rPr>
                <w:b w:val="0"/>
                <w:sz w:val="16"/>
              </w:rPr>
              <w:t>1.908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rPr>
                <w:b w:val="0"/>
                <w:sz w:val="16"/>
              </w:rPr>
              <w:t>1.463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rPr>
                <w:b w:val="0"/>
                <w:sz w:val="16"/>
              </w:rPr>
              <w:t>445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rPr>
                <w:b w:val="0"/>
                <w:sz w:val="16"/>
              </w:rPr>
              <w:t>445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rPr>
                <w:b w:val="0"/>
                <w:sz w:val="16"/>
              </w:rPr>
              <w:t>106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rPr>
                <w:b w:val="0"/>
                <w:sz w:val="16"/>
              </w:rPr>
              <w:t>-339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rPr>
                <w:b w:val="0"/>
                <w:sz w:val="16"/>
              </w:rPr>
              <w:t>5.280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rPr>
                <w:b w:val="0"/>
                <w:sz w:val="16"/>
              </w:rPr>
              <w:t>3.817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rPr>
                <w:b w:val="0"/>
                <w:sz w:val="16"/>
              </w:rPr>
              <w:t>1.975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rPr>
                <w:b w:val="0"/>
                <w:sz w:val="16"/>
              </w:rPr>
              <w:t>1.514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rPr>
                <w:b w:val="0"/>
                <w:sz w:val="16"/>
              </w:rPr>
              <w:t>461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rPr>
                <w:b w:val="0"/>
                <w:sz w:val="16"/>
              </w:rPr>
              <w:t>461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rPr>
                <w:b w:val="0"/>
                <w:sz w:val="16"/>
              </w:rPr>
              <w:t>122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rPr>
                <w:b w:val="0"/>
                <w:sz w:val="16"/>
              </w:rPr>
              <w:t>-339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rPr>
                <w:b w:val="0"/>
                <w:sz w:val="16"/>
              </w:rPr>
              <w:t>5.465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rPr>
                <w:b w:val="0"/>
                <w:sz w:val="16"/>
              </w:rPr>
              <w:t>3.950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10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rPr>
                <w:b w:val="0"/>
                <w:sz w:val="16"/>
              </w:rPr>
              <w:t>2.044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rPr>
                <w:b w:val="0"/>
                <w:sz w:val="16"/>
              </w:rPr>
              <w:t>1.567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rPr>
                <w:b w:val="0"/>
                <w:sz w:val="16"/>
              </w:rPr>
              <w:t>477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rPr>
                <w:b w:val="0"/>
                <w:sz w:val="16"/>
              </w:rPr>
              <w:t>477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rPr>
                <w:b w:val="0"/>
                <w:sz w:val="16"/>
              </w:rPr>
              <w:t>138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rPr>
                <w:b w:val="0"/>
                <w:sz w:val="16"/>
              </w:rPr>
              <w:t>-339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rPr>
                <w:b w:val="0"/>
                <w:sz w:val="16"/>
              </w:rPr>
              <w:t>5.656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rPr>
                <w:b w:val="0"/>
                <w:sz w:val="16"/>
              </w:rPr>
              <w:t>4.089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11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rPr>
                <w:b w:val="0"/>
                <w:sz w:val="16"/>
              </w:rPr>
              <w:t>2.116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rPr>
                <w:b w:val="0"/>
                <w:sz w:val="16"/>
              </w:rPr>
              <w:t>1.622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rPr>
                <w:b w:val="0"/>
                <w:sz w:val="16"/>
              </w:rPr>
              <w:t>494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rPr>
                <w:b w:val="0"/>
                <w:sz w:val="16"/>
              </w:rPr>
              <w:t>494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rPr>
                <w:b w:val="0"/>
                <w:sz w:val="16"/>
              </w:rPr>
              <w:t>494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rPr>
                <w:b w:val="0"/>
                <w:sz w:val="16"/>
              </w:rPr>
              <w:t>-0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rPr>
                <w:b w:val="0"/>
                <w:sz w:val="16"/>
              </w:rPr>
              <w:t>5.854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rPr>
                <w:b w:val="0"/>
                <w:sz w:val="16"/>
              </w:rPr>
              <w:t>4.232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12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rPr>
                <w:b w:val="0"/>
                <w:sz w:val="16"/>
              </w:rPr>
              <w:t>2.190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rPr>
                <w:b w:val="0"/>
                <w:sz w:val="16"/>
              </w:rPr>
              <w:t>1.679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rPr>
                <w:b w:val="0"/>
                <w:sz w:val="16"/>
              </w:rPr>
              <w:t>511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rPr>
                <w:b w:val="0"/>
                <w:sz w:val="16"/>
              </w:rPr>
              <w:t>511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rPr>
                <w:b w:val="0"/>
                <w:sz w:val="16"/>
              </w:rPr>
              <w:t>511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rPr>
                <w:b w:val="0"/>
                <w:sz w:val="16"/>
              </w:rPr>
              <w:t>-0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rPr>
                <w:b w:val="0"/>
                <w:sz w:val="16"/>
              </w:rPr>
              <w:t>6.059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rPr>
                <w:b w:val="0"/>
                <w:sz w:val="16"/>
              </w:rPr>
              <w:t>4.380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13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rPr>
                <w:b w:val="0"/>
                <w:sz w:val="16"/>
              </w:rPr>
              <w:t>2.267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rPr>
                <w:b w:val="0"/>
                <w:sz w:val="16"/>
              </w:rPr>
              <w:t>1.738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rPr>
                <w:b w:val="0"/>
                <w:sz w:val="16"/>
              </w:rPr>
              <w:t>529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rPr>
                <w:b w:val="0"/>
                <w:sz w:val="16"/>
              </w:rPr>
              <w:t>529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rPr>
                <w:b w:val="0"/>
                <w:sz w:val="16"/>
              </w:rPr>
              <w:t>529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rPr>
                <w:b w:val="0"/>
                <w:sz w:val="16"/>
              </w:rPr>
              <w:t>-0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rPr>
                <w:b w:val="0"/>
                <w:sz w:val="16"/>
              </w:rPr>
              <w:t>6.271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rPr>
                <w:b w:val="0"/>
                <w:sz w:val="16"/>
              </w:rPr>
              <w:t>4.533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14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rPr>
                <w:b w:val="0"/>
                <w:sz w:val="16"/>
              </w:rPr>
              <w:t>2.346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rPr>
                <w:b w:val="0"/>
                <w:sz w:val="16"/>
              </w:rPr>
              <w:t>1.798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rPr>
                <w:b w:val="0"/>
                <w:sz w:val="16"/>
              </w:rPr>
              <w:t>547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rPr>
                <w:b w:val="0"/>
                <w:sz w:val="16"/>
              </w:rPr>
              <w:t>547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rPr>
                <w:b w:val="0"/>
                <w:sz w:val="16"/>
              </w:rPr>
              <w:t>547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rPr>
                <w:b w:val="0"/>
                <w:sz w:val="16"/>
              </w:rPr>
              <w:t>-0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rPr>
                <w:b w:val="0"/>
                <w:sz w:val="16"/>
              </w:rPr>
              <w:t>6.490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rPr>
                <w:b w:val="0"/>
                <w:sz w:val="16"/>
              </w:rPr>
              <w:t>4.692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15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rPr>
                <w:b w:val="0"/>
                <w:sz w:val="16"/>
              </w:rPr>
              <w:t>2.428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rPr>
                <w:b w:val="0"/>
                <w:sz w:val="16"/>
              </w:rPr>
              <w:t>1.862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rPr>
                <w:b w:val="0"/>
                <w:sz w:val="16"/>
              </w:rPr>
              <w:t>566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rPr>
                <w:b w:val="0"/>
                <w:sz w:val="16"/>
              </w:rPr>
              <w:t>566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rPr>
                <w:b w:val="0"/>
                <w:sz w:val="16"/>
              </w:rPr>
              <w:t>566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rPr>
                <w:b w:val="0"/>
                <w:sz w:val="16"/>
              </w:rPr>
              <w:t>-0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rPr>
                <w:b w:val="0"/>
                <w:sz w:val="16"/>
              </w:rPr>
              <w:t>6.718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rPr>
                <w:b w:val="0"/>
                <w:sz w:val="16"/>
              </w:rPr>
              <w:t>4.856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16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rPr>
                <w:b w:val="0"/>
                <w:sz w:val="16"/>
              </w:rPr>
              <w:t>2.513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rPr>
                <w:b w:val="0"/>
                <w:sz w:val="16"/>
              </w:rPr>
              <w:t>1.927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rPr>
                <w:b w:val="0"/>
                <w:sz w:val="16"/>
              </w:rPr>
              <w:t>586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rPr>
                <w:b w:val="0"/>
                <w:sz w:val="16"/>
              </w:rPr>
              <w:t>586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rPr>
                <w:b w:val="0"/>
                <w:sz w:val="16"/>
              </w:rPr>
              <w:t>586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rPr>
                <w:b w:val="0"/>
                <w:sz w:val="16"/>
              </w:rPr>
              <w:t>-0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rPr>
                <w:b w:val="0"/>
                <w:sz w:val="16"/>
              </w:rPr>
              <w:t>6.953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rPr>
                <w:b w:val="0"/>
                <w:sz w:val="16"/>
              </w:rPr>
              <w:t>5.026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17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rPr>
                <w:b w:val="0"/>
                <w:sz w:val="16"/>
              </w:rPr>
              <w:t>2.601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rPr>
                <w:b w:val="0"/>
                <w:sz w:val="16"/>
              </w:rPr>
              <w:t>1.994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rPr>
                <w:b w:val="0"/>
                <w:sz w:val="16"/>
              </w:rPr>
              <w:t>607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rPr>
                <w:b w:val="0"/>
                <w:sz w:val="16"/>
              </w:rPr>
              <w:t>607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rPr>
                <w:b w:val="0"/>
                <w:sz w:val="16"/>
              </w:rPr>
              <w:t>607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rPr>
                <w:b w:val="0"/>
                <w:sz w:val="16"/>
              </w:rPr>
              <w:t>-0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rPr>
                <w:b w:val="0"/>
                <w:sz w:val="16"/>
              </w:rPr>
              <w:t>7.196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rPr>
                <w:b w:val="0"/>
                <w:sz w:val="16"/>
              </w:rPr>
              <w:t>5.202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18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rPr>
                <w:b w:val="0"/>
                <w:sz w:val="16"/>
              </w:rPr>
              <w:t>2.692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rPr>
                <w:b w:val="0"/>
                <w:sz w:val="16"/>
              </w:rPr>
              <w:t>2.064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rPr>
                <w:b w:val="0"/>
                <w:sz w:val="16"/>
              </w:rPr>
              <w:t>628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rPr>
                <w:b w:val="0"/>
                <w:sz w:val="16"/>
              </w:rPr>
              <w:t>628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rPr>
                <w:b w:val="0"/>
                <w:sz w:val="16"/>
              </w:rPr>
              <w:t>628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rPr>
                <w:b w:val="0"/>
                <w:sz w:val="16"/>
              </w:rPr>
              <w:t>-0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rPr>
                <w:b w:val="0"/>
                <w:sz w:val="16"/>
              </w:rPr>
              <w:t>7.448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rPr>
                <w:b w:val="0"/>
                <w:sz w:val="16"/>
              </w:rPr>
              <w:t>5.384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19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rPr>
                <w:b w:val="0"/>
                <w:sz w:val="16"/>
              </w:rPr>
              <w:t>2.786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rPr>
                <w:b w:val="0"/>
                <w:sz w:val="16"/>
              </w:rPr>
              <w:t>2.136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rPr>
                <w:b w:val="0"/>
                <w:sz w:val="16"/>
              </w:rPr>
              <w:t>650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rPr>
                <w:b w:val="0"/>
                <w:sz w:val="16"/>
              </w:rPr>
              <w:t>650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rPr>
                <w:b w:val="0"/>
                <w:sz w:val="16"/>
              </w:rPr>
              <w:t>650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rPr>
                <w:b w:val="0"/>
                <w:sz w:val="16"/>
              </w:rPr>
              <w:t>-0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rPr>
                <w:b w:val="0"/>
                <w:sz w:val="16"/>
              </w:rPr>
              <w:t>7.709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rPr>
                <w:b w:val="0"/>
                <w:sz w:val="16"/>
              </w:rPr>
              <w:t>5.572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20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rPr>
                <w:b w:val="0"/>
                <w:sz w:val="16"/>
              </w:rPr>
              <w:t>2.884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rPr>
                <w:b w:val="0"/>
                <w:sz w:val="16"/>
              </w:rPr>
              <w:t>2.211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rPr>
                <w:b w:val="0"/>
                <w:sz w:val="16"/>
              </w:rPr>
              <w:t>673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rPr>
                <w:b w:val="0"/>
                <w:sz w:val="16"/>
              </w:rPr>
              <w:t>673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rPr>
                <w:b w:val="0"/>
                <w:sz w:val="16"/>
              </w:rPr>
              <w:t>673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rPr>
                <w:b w:val="0"/>
                <w:sz w:val="16"/>
              </w:rPr>
              <w:t>-0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rPr>
                <w:b w:val="0"/>
                <w:sz w:val="16"/>
              </w:rPr>
              <w:t>7.978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rPr>
                <w:b w:val="0"/>
                <w:sz w:val="16"/>
              </w:rPr>
              <w:t>5.768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21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rPr>
                <w:b w:val="0"/>
                <w:sz w:val="16"/>
              </w:rPr>
              <w:t>2.985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rPr>
                <w:b w:val="0"/>
                <w:sz w:val="16"/>
              </w:rPr>
              <w:t>2.288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rPr>
                <w:b w:val="0"/>
                <w:sz w:val="16"/>
              </w:rPr>
              <w:t>696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rPr>
                <w:b w:val="0"/>
                <w:sz w:val="16"/>
              </w:rPr>
              <w:t>696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rPr>
                <w:b w:val="0"/>
                <w:sz w:val="16"/>
              </w:rPr>
              <w:t>696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rPr>
                <w:b w:val="0"/>
                <w:sz w:val="16"/>
              </w:rPr>
              <w:t>-0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rPr>
                <w:b w:val="0"/>
                <w:sz w:val="16"/>
              </w:rPr>
              <w:t>8.258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rPr>
                <w:b w:val="0"/>
                <w:sz w:val="16"/>
              </w:rPr>
              <w:t>5.969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22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rPr>
                <w:b w:val="0"/>
                <w:sz w:val="16"/>
              </w:rPr>
              <w:t>3.089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rPr>
                <w:b w:val="0"/>
                <w:sz w:val="16"/>
              </w:rPr>
              <w:t>2.368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rPr>
                <w:b w:val="0"/>
                <w:sz w:val="16"/>
              </w:rPr>
              <w:t>721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rPr>
                <w:b w:val="0"/>
                <w:sz w:val="16"/>
              </w:rPr>
              <w:t>721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rPr>
                <w:b w:val="0"/>
                <w:sz w:val="16"/>
              </w:rPr>
              <w:t>721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rPr>
                <w:b w:val="0"/>
                <w:sz w:val="16"/>
              </w:rPr>
              <w:t>-0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rPr>
                <w:b w:val="0"/>
                <w:sz w:val="16"/>
              </w:rPr>
              <w:t>8.547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rPr>
                <w:b w:val="0"/>
                <w:sz w:val="16"/>
              </w:rPr>
              <w:t>6.178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23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rPr>
                <w:b w:val="0"/>
                <w:sz w:val="16"/>
              </w:rPr>
              <w:t>3.197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rPr>
                <w:b w:val="0"/>
                <w:sz w:val="16"/>
              </w:rPr>
              <w:t>2.451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rPr>
                <w:b w:val="0"/>
                <w:sz w:val="16"/>
              </w:rPr>
              <w:t>746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rPr>
                <w:b w:val="0"/>
                <w:sz w:val="16"/>
              </w:rPr>
              <w:t>746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rPr>
                <w:b w:val="0"/>
                <w:sz w:val="16"/>
              </w:rPr>
              <w:t>746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rPr>
                <w:b w:val="0"/>
                <w:sz w:val="16"/>
              </w:rPr>
              <w:t>-0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rPr>
                <w:b w:val="0"/>
                <w:sz w:val="16"/>
              </w:rPr>
              <w:t>8.846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rPr>
                <w:b w:val="0"/>
                <w:sz w:val="16"/>
              </w:rPr>
              <w:t>6.394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24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rPr>
                <w:b w:val="0"/>
                <w:sz w:val="16"/>
              </w:rPr>
              <w:t>3.309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rPr>
                <w:b w:val="0"/>
                <w:sz w:val="16"/>
              </w:rPr>
              <w:t>2.537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rPr>
                <w:b w:val="0"/>
                <w:sz w:val="16"/>
              </w:rPr>
              <w:t>772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rPr>
                <w:b w:val="0"/>
                <w:sz w:val="16"/>
              </w:rPr>
              <w:t>772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rPr>
                <w:b w:val="0"/>
                <w:sz w:val="16"/>
              </w:rPr>
              <w:t>772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rPr>
                <w:b w:val="0"/>
                <w:sz w:val="16"/>
              </w:rPr>
              <w:t>-0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rPr>
                <w:b w:val="0"/>
                <w:sz w:val="16"/>
              </w:rPr>
              <w:t>9.155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rPr>
                <w:b w:val="0"/>
                <w:sz w:val="16"/>
              </w:rPr>
              <w:t>6.618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25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rPr>
                <w:b w:val="0"/>
                <w:sz w:val="16"/>
              </w:rPr>
              <w:t>3.425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rPr>
                <w:b w:val="0"/>
                <w:sz w:val="16"/>
              </w:rPr>
              <w:t>2.626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rPr>
                <w:b w:val="0"/>
                <w:sz w:val="16"/>
              </w:rPr>
              <w:t>799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rPr>
                <w:b w:val="0"/>
                <w:sz w:val="16"/>
              </w:rPr>
              <w:t>799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rPr>
                <w:b w:val="0"/>
                <w:sz w:val="16"/>
              </w:rPr>
              <w:t>799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rPr>
                <w:b w:val="0"/>
                <w:sz w:val="16"/>
              </w:rPr>
              <w:t>-0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rPr>
                <w:b w:val="0"/>
                <w:sz w:val="16"/>
              </w:rPr>
              <w:t>9.476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rPr>
                <w:b w:val="0"/>
                <w:sz w:val="16"/>
              </w:rPr>
              <w:t>6.850</w:t>
            </w:r>
          </w:p>
        </w:tc>
      </w:tr>
    </w:tbl>
    <w:p/>
    <w:p>
      <w:pPr>
        <w:jc w:val="both"/>
      </w:pPr>
      <w:r>
        <w:rPr>
          <w:i/>
          <w:sz w:val="18"/>
        </w:rPr>
        <w:t>FC Proyecto: rentabilidad de la inversión total (descontado al WACC). FC Inversionista: lo que recibe el accionista tras intereses y amortización (descontado al Ke). FC Banco: desembolsa la deuda en el año 0 y recibe la cuota fija 10 años. FC Social: beneficios sociales menos OPEX (descontado a la tasa social 9 %).</w:t>
      </w:r>
    </w:p>
    <w:p>
      <w:pPr>
        <w:pStyle w:val="Heading1"/>
      </w:pPr>
      <w:r>
        <w:rPr>
          <w:color w:val="1F4E79"/>
          <w:sz w:val="30"/>
        </w:rPr>
        <w:t>7. Matriz de Riesgos (20 riesgos)</w:t>
      </w:r>
    </w:p>
    <w:p>
      <w:pPr>
        <w:jc w:val="both"/>
      </w:pPr>
      <w:r>
        <w:rPr>
          <w:i/>
          <w:sz w:val="18"/>
        </w:rPr>
        <w:t>Escala: Probabilidad (P) e Impacto (I) de 1 a 5. Severidad = P × I. Clasificación: Bajo (1–6), Medio (8–12), Alto (15–25).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1234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Riesgo</w:t>
            </w:r>
          </w:p>
        </w:tc>
        <w:tc>
          <w:tcPr>
            <w:tcW w:type="dxa" w:w="1234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Tipo</w:t>
            </w:r>
          </w:p>
        </w:tc>
        <w:tc>
          <w:tcPr>
            <w:tcW w:type="dxa" w:w="1234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P</w:t>
            </w:r>
          </w:p>
        </w:tc>
        <w:tc>
          <w:tcPr>
            <w:tcW w:type="dxa" w:w="1234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I</w:t>
            </w:r>
          </w:p>
        </w:tc>
        <w:tc>
          <w:tcPr>
            <w:tcW w:type="dxa" w:w="1234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P×I</w:t>
            </w:r>
          </w:p>
        </w:tc>
        <w:tc>
          <w:tcPr>
            <w:tcW w:type="dxa" w:w="1234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Nivel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sz w:val="18"/>
              </w:rPr>
              <w:t>Crecientes/turbiedad extrema del río San Juan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sz w:val="18"/>
              </w:rPr>
              <w:t>Ambiental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20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Alto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sz w:val="18"/>
              </w:rPr>
              <w:t>Contaminación por minería ilegal (mercurio)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sz w:val="18"/>
              </w:rPr>
              <w:t>Ambiental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20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Alto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sz w:val="18"/>
              </w:rPr>
              <w:t>Inundaciones que dañan captación/redes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sz w:val="18"/>
              </w:rPr>
              <w:t>Ambiental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16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Alto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sz w:val="18"/>
              </w:rPr>
              <w:t>Deforestación de la cuenca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sz w:val="18"/>
              </w:rPr>
              <w:t>Ambiental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Medio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sz w:val="18"/>
              </w:rPr>
              <w:t>Vertimientos de aguas residuales a la fuente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sz w:val="18"/>
              </w:rPr>
              <w:t>Ambiental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12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Medio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sz w:val="18"/>
              </w:rPr>
              <w:t>Resistencia comunitaria a micromedición/tarifa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sz w:val="18"/>
              </w:rPr>
              <w:t>Social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Medio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sz w:val="18"/>
              </w:rPr>
              <w:t>Baja cultura de pago y cartera morosa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sz w:val="18"/>
              </w:rPr>
              <w:t>Social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12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Medio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sz w:val="18"/>
              </w:rPr>
              <w:t>Presencia de grupos armados (extorsión/retrasos)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sz w:val="18"/>
              </w:rPr>
              <w:t>Seguridad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16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Alto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sz w:val="18"/>
              </w:rPr>
              <w:t>Demora en desembolsos de cofinanciación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sz w:val="18"/>
              </w:rPr>
              <w:t>Institucional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16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Alto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sz w:val="18"/>
              </w:rPr>
              <w:t>Debilidad del operador municipal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sz w:val="18"/>
              </w:rPr>
              <w:t>Institucional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12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Medio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11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sz w:val="18"/>
              </w:rPr>
              <w:t>Sobrecostos por inflación de insumos/transporte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sz w:val="18"/>
              </w:rPr>
              <w:t>Financiero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Medio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12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sz w:val="18"/>
              </w:rPr>
              <w:t>Tarifa insuficiente para cubrir OPEX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sz w:val="18"/>
              </w:rPr>
              <w:t>Financiero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12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Medio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13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sz w:val="18"/>
              </w:rPr>
              <w:t>Diseño hidráulico subdimensionado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sz w:val="18"/>
              </w:rPr>
              <w:t>Técnico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Medio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14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sz w:val="18"/>
              </w:rPr>
              <w:t>Fallas de equipos de bombeo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sz w:val="18"/>
              </w:rPr>
              <w:t>Técnico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Medio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15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sz w:val="18"/>
              </w:rPr>
              <w:t>Suministro eléctrico inestable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sz w:val="18"/>
              </w:rPr>
              <w:t>Técnico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12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Medio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16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sz w:val="18"/>
              </w:rPr>
              <w:t>Alto IANC por fugas no detectadas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sz w:val="18"/>
              </w:rPr>
              <w:t>Operativo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Medio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17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sz w:val="18"/>
              </w:rPr>
              <w:t>Dificultad de acceso por mal estado de vías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sz w:val="18"/>
              </w:rPr>
              <w:t>Logístico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12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Medio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18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sz w:val="18"/>
              </w:rPr>
              <w:t>Escasez de insumos químicos (coagulantes)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sz w:val="18"/>
              </w:rPr>
              <w:t>Ambiental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Bajo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19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sz w:val="18"/>
              </w:rPr>
              <w:t>Demoras en predios/servidumbres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sz w:val="18"/>
              </w:rPr>
              <w:t>Legal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Medio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20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sz w:val="18"/>
              </w:rPr>
              <w:t>Brote de EDA durante la transición de obra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sz w:val="18"/>
              </w:rPr>
              <w:t>Salud pública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Medio</w:t>
            </w:r>
          </w:p>
        </w:tc>
      </w:tr>
    </w:tbl>
    <w:p/>
    <w:p>
      <w:pPr>
        <w:jc w:val="both"/>
      </w:pPr>
      <w:r>
        <w:rPr>
          <w:i w:val="0"/>
          <w:sz w:val="22"/>
        </w:rPr>
        <w:t>Los riesgos más críticos (Altos) se concentran en factores ambientales (turbiedad, minería, inundaciones), seguridad e institucionales (desembolsos).</w:t>
      </w:r>
    </w:p>
    <w:p>
      <w:pPr>
        <w:pStyle w:val="Heading1"/>
      </w:pPr>
      <w:r>
        <w:rPr>
          <w:color w:val="1F4E79"/>
          <w:sz w:val="30"/>
        </w:rPr>
        <w:t>8. Intervención de 10 Riesgos (5 ambientales) y Recalificación</w:t>
      </w:r>
    </w:p>
    <w:p>
      <w:pPr>
        <w:jc w:val="both"/>
      </w:pPr>
      <w:r>
        <w:rPr>
          <w:i w:val="0"/>
          <w:sz w:val="22"/>
        </w:rPr>
        <w:t>Se intervienen los 10 riesgos prioritarios, incluidos 5 ambientales (riesgos 1, 2, 3, 5 y 4).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1440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Riesgo</w:t>
            </w:r>
          </w:p>
        </w:tc>
        <w:tc>
          <w:tcPr>
            <w:tcW w:type="dxa" w:w="1440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Tipo</w:t>
            </w:r>
          </w:p>
        </w:tc>
        <w:tc>
          <w:tcPr>
            <w:tcW w:type="dxa" w:w="1440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Intervención propuesta</w:t>
            </w:r>
          </w:p>
        </w:tc>
        <w:tc>
          <w:tcPr>
            <w:tcW w:type="dxa" w:w="1440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P×I residual</w:t>
            </w:r>
          </w:p>
        </w:tc>
        <w:tc>
          <w:tcPr>
            <w:tcW w:type="dxa" w:w="1440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Nivel residual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Turbiedad extrema del río San Juan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Ambiental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Pretratamiento robusto + sedimentadores de alta tasa + dosificación automática + tanque de regulación.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Medio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Contaminación por minería ilegal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Ambiental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Monitoreo de fuente + carbón activado + articulación con CODECHOCÓ y control de minería.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Medio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Inundaciones que dañan infraestructura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Ambiental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Captación elevada/protegida + protección de orillas + redes en cotas seguras.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Medio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Vertimientos a la fuente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Ambiental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Optimización de alcantarillado + campañas + coordinación municipal.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Bajo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Deforestación de la cuenca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Ambiental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Pago por servicios ambientales + reforestación de microcuenca con la comunidad.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Bajo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Grupos armados / inseguridad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Seguridad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Plan de seguridad de obra + articulación con autoridades + contratación local.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Medio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Demora en desembolsos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Institucional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Convenio con desembolsos por hitos + anticipo + fiducia.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Medio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Baja cultura de pago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Social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Subsidios focalizados + educación + tarifa social + facturación clara.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Bajo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12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Tarifa insuficiente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Financiero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Estudio tarifario CRA + subsidios cruzados + aporte SGP.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Bajo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15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Suministro eléctrico inestable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Técnico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8"/>
              </w:rPr>
              <w:t>Planta eléctrica de respaldo + almacenamiento con autonomía.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Bajo</w:t>
            </w:r>
          </w:p>
        </w:tc>
      </w:tr>
    </w:tbl>
    <w:p/>
    <w:p>
      <w:pPr>
        <w:jc w:val="both"/>
      </w:pPr>
      <w:r>
        <w:rPr>
          <w:i w:val="0"/>
          <w:sz w:val="22"/>
        </w:rPr>
        <w:t>Con las intervenciones, los riesgos pasan de niveles Alto/Medio a Medio/Bajo. Los 5 riesgos ambientales priorizados se reducen sustancialmente, lo cual es clave porque la fuente (río San Juan), la turbiedad extrema y la minería son las mayores amenazas para la operación.</w:t>
      </w:r>
    </w:p>
    <w:p>
      <w:pPr>
        <w:pStyle w:val="Heading1"/>
      </w:pPr>
      <w:r>
        <w:rPr>
          <w:color w:val="1F4E79"/>
          <w:sz w:val="30"/>
        </w:rPr>
        <w:t>9. Conclusiones y Recomendaciones</w:t>
      </w:r>
    </w:p>
    <w:p>
      <w:pPr>
        <w:pStyle w:val="ListNumber"/>
      </w:pPr>
      <w:r>
        <w:t>Técnicamente viable: el caudal de diseño (QMD = 41,5 L/s, Res. 0330) y la PTAP de 45 L/s responden a la población a 25 años; el reto central es la alta turbiedad de la fuente.</w:t>
      </w:r>
    </w:p>
    <w:p>
      <w:pPr>
        <w:pStyle w:val="ListNumber"/>
      </w:pPr>
      <w:r>
        <w:t>Financieramente NO rentable solo con tarifas (VPN = −15.487 MM; TIR = −2,45 %), lo cual es la norma en acueductos del Pacífico y no descalifica el proyecto.</w:t>
      </w:r>
    </w:p>
    <w:p>
      <w:pPr>
        <w:pStyle w:val="ListNumber"/>
      </w:pPr>
      <w:r>
        <w:t>Requiere cofinanciación pública alta (≥ 80–90 %) para ejecutarse y operar de forma sostenible; lo natural es un operador público/comunitario apoyado por SGR/PDA/cooperación.</w:t>
      </w:r>
    </w:p>
    <w:p>
      <w:pPr>
        <w:pStyle w:val="ListNumber"/>
      </w:pPr>
      <w:r>
        <w:t>Socialmente muy rentable: VPN social de +19.626 MM y B/C = 1,56 a la tasa social del DNP (9 %); aquí está la verdadera justificación de la inversión.</w:t>
      </w:r>
    </w:p>
    <w:p>
      <w:pPr>
        <w:pStyle w:val="ListNumber"/>
      </w:pPr>
      <w:r>
        <w:t>Los riesgos ambientales y de seguridad son los más críticos; las medidas propuestas los reducen a niveles manejables.</w:t>
      </w:r>
    </w:p>
    <w:p>
      <w:pPr>
        <w:pStyle w:val="Heading1"/>
      </w:pPr>
      <w:r>
        <w:rPr>
          <w:color w:val="1F4E79"/>
          <w:sz w:val="30"/>
        </w:rPr>
        <w:t>10. Fuentes</w:t>
      </w:r>
    </w:p>
    <w:p>
      <w:pPr>
        <w:pStyle w:val="ListBullet"/>
      </w:pPr>
      <w:r>
        <w:t>DANE — Censo Nacional de Población y Vivienda 2018: población de Tadó ≈ 17.000 hab.</w:t>
      </w:r>
    </w:p>
    <w:p>
      <w:pPr>
        <w:pStyle w:val="ListBullet"/>
      </w:pPr>
      <w:r>
        <w:t>Clima de Tadó (~7.921 mm/año, clima tropical lluvioso): Wikipedia — Tadó.</w:t>
      </w:r>
    </w:p>
    <w:p>
      <w:pPr>
        <w:pStyle w:val="ListBullet"/>
      </w:pPr>
      <w:r>
        <w:t>Río San Juan (fuente hídrica, vertiente Pacífico): Wikipedia — San Juan River (Colombia).</w:t>
      </w:r>
    </w:p>
    <w:p>
      <w:pPr>
        <w:pStyle w:val="ListBullet"/>
      </w:pPr>
      <w:r>
        <w:t>Proyecto real de acueducto de Tadó (MinVivienda + cooperación española; inversión COP 19.971 millones; meta 24 h y 98 % de cobertura): Agencia Anadolu (aa.com.tr).</w:t>
      </w:r>
    </w:p>
    <w:p>
      <w:pPr>
        <w:pStyle w:val="ListBullet"/>
      </w:pPr>
      <w:r>
        <w:t>Contexto de seguridad en la región de Tadó (Chocó): El Ciudadano.</w:t>
      </w:r>
    </w:p>
    <w:p>
      <w:pPr>
        <w:pStyle w:val="ListBullet"/>
      </w:pPr>
      <w:r>
        <w:t>Resolución 0330 de 2017 (RAS) — MinVivienda: dotación, pérdidas y coeficientes k1/k2.</w:t>
      </w:r>
    </w:p>
    <w:p>
      <w:pPr>
        <w:pStyle w:val="ListBullet"/>
      </w:pPr>
      <w:r>
        <w:t>Resolución 2115 de 2007: criterios de calidad del agua (IRCA).</w:t>
      </w:r>
    </w:p>
    <w:p>
      <w:pPr>
        <w:pStyle w:val="ListBullet"/>
      </w:pPr>
      <w:r>
        <w:t>Marco tarifario CRA (Resolución CRA 943 de 2021).</w:t>
      </w:r>
    </w:p>
    <w:p>
      <w:pPr>
        <w:pStyle w:val="ListBullet"/>
      </w:pPr>
      <w:r>
        <w:t>Tasa social de descuento (9 %): Departamento Nacional de Planeación (DNP).</w:t>
      </w:r>
    </w:p>
    <w:p>
      <w:pPr>
        <w:jc w:val="both"/>
      </w:pPr>
      <w:r>
        <w:rPr>
          <w:i/>
          <w:sz w:val="18"/>
        </w:rPr>
        <w:t>El contenido de las fuentes consultadas fue parafraseado y resumido para cumplir con las restricciones de licenciamiento.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