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t>18/07/2026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t>CONTENIDO: MEMORIA ESTRUCTURAL ACTUALIZADA — DISEÑO DE VIGAS</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t>FECHA DE ACTUALIZACIÓN: 18/07/2026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 xml:space="preserve">Grupo de Uso: Basado en el uso de la edificación, se establece el Grupo de Uso correspondiente según el </w:t>
      </w:r>
      <w:proofErr w:type="spellStart"/>
      <w:r w:rsidRPr="000629AF">
        <w:t>item</w:t>
      </w:r>
      <w:proofErr w:type="spellEnd"/>
      <w:r w:rsidRPr="000629AF">
        <w:t xml:space="preserve"> 4.2.5.1 – Grupos de Uso de la NSR-10. Para el caso de estudio, se tiene que edificaciones de hospitales, clínicas y centros de salud se clasifican en el Grupo II – Estructuras de ocupación especial (NSR-10, A.2.5.1.3), al cual le corresponde un Coeficiente de Importancia (I) de 1.1</w:t>
      </w:r>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Ocupación normal: incluye edificaciones con baja repercusión en caso de falla estructural, como construcciones de uso limitado o sin ocupación permanente.</w:t>
      </w:r>
    </w:p>
    <w:p w14:paraId="25E44A84" w14:textId="77777777" w:rsidR="0079179A" w:rsidRPr="003C25BD" w:rsidRDefault="0079179A" w:rsidP="003C25BD"/>
    <w:p w14:paraId="420B5DF4" w14:textId="77777777" w:rsidR="0079179A" w:rsidRPr="003C25BD" w:rsidRDefault="0079179A" w:rsidP="003C25BD">
      <w:r w:rsidRPr="003C25BD">
        <w:t>Grupo II – Ocupación común: corresponde a edificaciones de uso habitual, tales como viviendas, edificios residenciales, oficinas y comercios.</w:t>
      </w:r>
    </w:p>
    <w:p w14:paraId="492035BA" w14:textId="77777777" w:rsidR="0079179A" w:rsidRPr="003C25BD" w:rsidRDefault="0079179A" w:rsidP="003C25BD"/>
    <w:p w14:paraId="73BA0379" w14:textId="77777777" w:rsidR="0079179A" w:rsidRPr="003C25BD" w:rsidRDefault="0079179A" w:rsidP="003C25BD">
      <w:r w:rsidRPr="003C25BD">
        <w:lastRenderedPageBreak/>
        <w:t>Grupo III – Atención a la comunidad: abarca edificaciones destinadas a servicios comunitarios o con alta concentración de personas, que requieren mayores niveles de seguridad.</w:t>
      </w:r>
    </w:p>
    <w:p w14:paraId="4224302B" w14:textId="77777777" w:rsidR="0079179A" w:rsidRPr="003C25BD" w:rsidRDefault="0079179A" w:rsidP="003C25BD"/>
    <w:p w14:paraId="0158BB2A" w14:textId="77777777" w:rsidR="0079179A" w:rsidRPr="003C25BD" w:rsidRDefault="0079179A" w:rsidP="003C25BD">
      <w:r w:rsidRPr="003C25BD">
        <w:t>Grupo IV – Edificaciones esenciales: incluye aquellas cuya operación es indispensable durante y después de un evento sísmico, como hospitales o estaciones de emergencia.</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 (ocupación normal),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A cada grupo de uso le corresponde un coeficiente de importancia (I), el cual modifica las exigencias del diseño sísmico al influir directamente en el espectro de diseño y en la magnitud de las fuerzas sísmicas consideradas. Para edificaciones clasificadas en el Grupo II, este coeficiente tiene un valor de:</w:t>
      </w:r>
    </w:p>
    <w:p w14:paraId="7EBA5EDE" w14:textId="7A61F9D0" w:rsidR="0079179A" w:rsidRDefault="0079179A" w:rsidP="00AF0845">
      <w:pPr>
        <w:pStyle w:val="Prrafodelista"/>
        <w:numPr>
          <w:ilvl w:val="0"/>
          <w:numId w:val="11"/>
        </w:numPr>
        <w:spacing w:before="118"/>
        <w:ind w:right="831"/>
      </w:pPr>
      <w:r w:rsidRPr="003C25BD">
        <w:t>I = 1.0</w:t>
      </w:r>
      <w:r w:rsidR="001144AA"/>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Dado que el período fundamental de la estructura, del orden de 0.41 a 0.55 segundos según el análisis modal, es inferior al período Tc igual a 0.66 segundos, la respuesta se ubica dentro de la zona de aceleración constante del espectro, por lo que la aceleración espectral corresponde al valor de la meseta: Sa = 2.5·Aa·Fa·I = 2.5 × 0.15 × 1.2 × 1.0 = 0.45.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0.45 × 41 074 = 18 483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t>1 210.6</w:t>
            </w:r>
            <w:r>
              <w:rPr>
                <w:rFonts w:ascii="Times New Roman" w:hAnsi="Times New Roman"/>
                <w:b w:val="0"/>
                <w:i w:val="0"/>
                <w:sz w:val="18"/>
                <w:rFonts w:ascii="Times New Roman" w:hAnsi="Times New Roman"/>
              </w:rPr>
            </w:r>
          </w:p>
        </w:tc>
        <w:tc>
          <w:tcPr>
            <w:tcW w:type="dxa" w:w="1263"/>
          </w:tcPr>
          <w:p>
            <w:pPr>
              <w:jc w:val="center"/>
            </w:pPr>
            <w:r>
              <w:t>968.5</w:t>
            </w:r>
            <w:r>
              <w:rPr>
                <w:rFonts w:ascii="Times New Roman" w:hAnsi="Times New Roman"/>
                <w:b w:val="0"/>
                <w:i w:val="0"/>
                <w:sz w:val="18"/>
                <w:rFonts w:ascii="Times New Roman" w:hAnsi="Times New Roman"/>
              </w:rPr>
            </w:r>
          </w:p>
        </w:tc>
        <w:tc>
          <w:tcPr>
            <w:tcW w:type="dxa" w:w="1263"/>
          </w:tcPr>
          <w:p>
            <w:pPr>
              <w:jc w:val="center"/>
            </w:pPr>
            <w:r>
              <w:t>2 216.8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t>3 027.5</w:t>
            </w:r>
            <w:r>
              <w:rPr>
                <w:rFonts w:ascii="Times New Roman" w:hAnsi="Times New Roman"/>
                <w:b w:val="0"/>
                <w:i w:val="0"/>
                <w:sz w:val="18"/>
                <w:rFonts w:ascii="Times New Roman" w:hAnsi="Times New Roman"/>
              </w:rPr>
            </w:r>
          </w:p>
        </w:tc>
        <w:tc>
          <w:tcPr>
            <w:tcW w:type="dxa" w:w="1263"/>
          </w:tcPr>
          <w:p>
            <w:pPr>
              <w:jc w:val="center"/>
            </w:pPr>
            <w:r>
              <w:t>2 420.2</w:t>
            </w:r>
            <w:r>
              <w:rPr>
                <w:rFonts w:ascii="Times New Roman" w:hAnsi="Times New Roman"/>
                <w:b w:val="0"/>
                <w:i w:val="0"/>
                <w:sz w:val="18"/>
                <w:rFonts w:ascii="Times New Roman" w:hAnsi="Times New Roman"/>
              </w:rPr>
            </w:r>
          </w:p>
        </w:tc>
        <w:tc>
          <w:tcPr>
            <w:tcW w:type="dxa" w:w="1263"/>
          </w:tcPr>
          <w:p>
            <w:pPr>
              <w:jc w:val="center"/>
            </w:pPr>
            <w:r>
              <w:t>5 539.8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t>4 469.2</w:t>
            </w:r>
            <w:r>
              <w:rPr>
                <w:rFonts w:ascii="Times New Roman" w:hAnsi="Times New Roman"/>
                <w:b w:val="0"/>
                <w:i w:val="0"/>
                <w:sz w:val="18"/>
                <w:rFonts w:ascii="Times New Roman" w:hAnsi="Times New Roman"/>
              </w:rPr>
            </w:r>
          </w:p>
        </w:tc>
        <w:tc>
          <w:tcPr>
            <w:tcW w:type="dxa" w:w="1263"/>
          </w:tcPr>
          <w:p>
            <w:pPr>
              <w:jc w:val="center"/>
            </w:pPr>
            <w:r>
              <w:t>3 573.6</w:t>
            </w:r>
            <w:r>
              <w:rPr>
                <w:rFonts w:ascii="Times New Roman" w:hAnsi="Times New Roman"/>
                <w:b w:val="0"/>
                <w:i w:val="0"/>
                <w:sz w:val="18"/>
                <w:rFonts w:ascii="Times New Roman" w:hAnsi="Times New Roman"/>
              </w:rPr>
            </w:r>
          </w:p>
        </w:tc>
        <w:tc>
          <w:tcPr>
            <w:tcW w:type="dxa" w:w="1263"/>
          </w:tcPr>
          <w:p>
            <w:pPr>
              <w:jc w:val="center"/>
            </w:pPr>
            <w:r>
              <w:t>8 179.6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t>5 925.6</w:t>
            </w:r>
            <w:r>
              <w:rPr>
                <w:rFonts w:ascii="Times New Roman" w:hAnsi="Times New Roman"/>
                <w:b w:val="0"/>
                <w:i w:val="0"/>
                <w:sz w:val="18"/>
                <w:rFonts w:ascii="Times New Roman" w:hAnsi="Times New Roman"/>
              </w:rPr>
            </w:r>
          </w:p>
        </w:tc>
        <w:tc>
          <w:tcPr>
            <w:tcW w:type="dxa" w:w="1263"/>
          </w:tcPr>
          <w:p>
            <w:pPr>
              <w:jc w:val="center"/>
            </w:pPr>
            <w:r>
              <w:t>4 737.0</w:t>
            </w:r>
            <w:r>
              <w:rPr>
                <w:rFonts w:ascii="Times New Roman" w:hAnsi="Times New Roman"/>
                <w:b w:val="0"/>
                <w:i w:val="0"/>
                <w:sz w:val="18"/>
                <w:rFonts w:ascii="Times New Roman" w:hAnsi="Times New Roman"/>
              </w:rPr>
            </w:r>
          </w:p>
        </w:tc>
        <w:tc>
          <w:tcPr>
            <w:tcW w:type="dxa" w:w="1263"/>
          </w:tcPr>
          <w:p>
            <w:pPr>
              <w:jc w:val="center"/>
            </w:pPr>
            <w:r>
              <w:t>10 842.6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t>3 850.0</w:t>
            </w:r>
            <w:r>
              <w:rPr>
                <w:rFonts w:ascii="Times New Roman" w:hAnsi="Times New Roman"/>
                <w:b w:val="0"/>
                <w:i w:val="0"/>
                <w:sz w:val="18"/>
                <w:rFonts w:ascii="Times New Roman" w:hAnsi="Times New Roman"/>
              </w:rPr>
            </w:r>
          </w:p>
        </w:tc>
        <w:tc>
          <w:tcPr>
            <w:tcW w:type="dxa" w:w="1263"/>
          </w:tcPr>
          <w:p>
            <w:pPr>
              <w:jc w:val="center"/>
            </w:pPr>
            <w:r>
              <w:t>3 077.9</w:t>
            </w:r>
            <w:r>
              <w:rPr>
                <w:rFonts w:ascii="Times New Roman" w:hAnsi="Times New Roman"/>
                <w:b w:val="0"/>
                <w:i w:val="0"/>
                <w:sz w:val="18"/>
                <w:rFonts w:ascii="Times New Roman" w:hAnsi="Times New Roman"/>
              </w:rPr>
            </w:r>
          </w:p>
        </w:tc>
        <w:tc>
          <w:tcPr>
            <w:tcW w:type="dxa" w:w="1263"/>
          </w:tcPr>
          <w:p>
            <w:pPr>
              <w:jc w:val="center"/>
            </w:pPr>
            <w:r>
              <w:t>7 045.0</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t>18 483.0</w:t>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rPr>
          <w:rFonts w:ascii="Times New Roman" w:hAnsi="Times New Roman"/>
          <w:b w:val="0"/>
          <w:i w:val="0"/>
          <w:sz w:val="32"/>
          <w:rFonts w:ascii="Times New Roman" w:hAnsi="Times New Roman"/>
        </w:rPr>
        <w:t>DISEÑO DE VIGUETAS, VIGAS Y RIOSTRAS</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sz w:val="24"/>
          <w:szCs w:val="24"/>
        </w:rPr>
        <w:t xml:space="preserve">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se obtiene mayorando las cargas y multiplicándolas por la separación entre viguetas. Los momentos se determinan con los coeficientes aproximados de la sección C.8.3.3 del Reglamento, aplicando a cada vano el coeficiente que corresponde a su condición de apoyo: en los vanos extremos, identificados como 1EC, el momento positivo se calcula con wu·ln²/14 y el momento negativo en la cara del primer apoyo interior con wu·ln²/10; en los vanos interiores, 2EC, el momento positivo con wu·ln²/16 y los negativos en los apoyos con wu·ln²/11; en el apoyo exterior monolítico con la viga de borde se emplea wu·ln²/24; y en los voladizos, tipo V, el momento negativo es wu·L²/2. El cortante se evalúa como wu·ln/2, incrementado a 1.15·wu·ln/2 en la cara del primer apoyo interior.</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jc w:val="both"/>
      </w:pPr>
      <w:r>
        <w:rPr>
          <w:rFonts w:ascii="Times New Roman" w:hAnsi="Times New Roman"/>
          <w:b w:val="0"/>
          <w:i w:val="0"/>
          <w:sz w:val="28"/>
          <w:rFonts w:ascii="Times New Roman" w:hAnsi="Times New Roman"/>
        </w:rPr>
        <w:t>Diseño de las vigas de carga</w:t>
      </w:r>
    </w:p>
    <w:p>
      <w:pPr>
        <w:spacing w:after="120" w:line="259" w:lineRule="auto"/>
        <w:jc w:val="both"/>
      </w:pPr>
      <w:r>
        <w:rPr>
          <w:rFonts w:ascii="Arial" w:hAnsi="Arial"/>
          <w:sz w:val="20"/>
        </w:rPr>
        <w:t>Las vigas de carga se reconciliaron directamente con los exportes vigentes del modelo SAP2000. Se verificaron 240 frames agrupados en VC1 a VC7. Todas las secciones del modelo y adoptadas son de 450 × 550 mm; las luces individuales varían entre 2.65 y 5.10 m. Para cada frame se extrajeron los máximos de momento negativo y positivo y cortante de ENVFLEX, así como el máximo cortante y la torsión de ENVCORT. El resumen de cada grupo adopta la envolvente más desfavorable sin mezclar identificadores de frame.</w:t>
      </w:r>
    </w:p>
    <w:p>
      <w:pPr>
        <w:spacing w:after="120" w:line="259" w:lineRule="auto"/>
        <w:jc w:val="both"/>
      </w:pPr>
      <w:r>
        <w:rPr>
          <w:rFonts w:ascii="Arial" w:hAnsi="Arial"/>
          <w:b/>
          <w:sz w:val="20"/>
        </w:rPr>
        <w:t>Diseño a flexión.</w:t>
      </w:r>
      <w:r>
        <w:rPr>
          <w:rFonts w:ascii="Arial" w:hAnsi="Arial"/>
          <w:sz w:val="20"/>
        </w:rPr>
        <w:t xml:space="preserve"> Con f'c = 28 MPa, fy = 420 MPa, φ = 0.90, recubrimiento de 40 mm y barras longitudinales #5, el peralte efectivo se calcula como d = h − cc − db,est − db,long/2. Se determina As requerido con Rn y ρ, se adopta como mínimo el mayor entre (1.4/fy)b·d y (0.25√f'c/fy)b·d, y se verifica φMn = φ As fy(d − a/2) ≥ Mu, con a = As fy/(0.85 f'c b). Las barras provistas y las capas se comprueban por separado en las caras superior e inferior.</w:t>
      </w:r>
    </w:p>
    <w:p>
      <w:pPr>
        <w:spacing w:after="120" w:line="259" w:lineRule="auto"/>
        <w:jc w:val="both"/>
      </w:pPr>
      <w:r>
        <w:rPr>
          <w:rFonts w:ascii="Arial" w:hAnsi="Arial"/>
          <w:b/>
          <w:sz w:val="20"/>
        </w:rPr>
        <w:t>Cortante, capacidad y torsión.</w:t>
      </w:r>
      <w:r>
        <w:rPr>
          <w:rFonts w:ascii="Arial" w:hAnsi="Arial"/>
          <w:sz w:val="20"/>
        </w:rPr>
        <w:t xml:space="preserve"> Se calcula Vc = 0.17√f'c·b·d y el cortante de diseño como el mayor entre Vu de ENVCORT y Vcap, donde Vcap incorpora los momentos probables Mpr obtenidos con 1.25fy en los extremos. El refuerzo transversal satisface la demanda, los límites de Vs y las separaciones DMO. Para torsión se evalúa el umbral φTth = φ·0.083√f'c·Acp²/pcp; cuando Tu lo supera se calculan At/s y el acero longitudinal Al, además de la interacción combinada V-T. El diámetro real del estribo se toma de cada fila: #3 (9.5 mm) o #4 (12.7 mm), evitando aplicar un único diámetro a todos los grupos.</w:t>
      </w:r>
    </w:p>
    <w:p>
      <w:pPr>
        <w:spacing w:after="120" w:line="259" w:lineRule="auto"/>
        <w:jc w:val="both"/>
      </w:pPr>
      <w:r>
        <w:rPr>
          <w:rFonts w:ascii="Arial" w:hAnsi="Arial"/>
          <w:b/>
          <w:sz w:val="20"/>
        </w:rPr>
        <w:t>Ejemplo reconciliado VC1.</w:t>
      </w:r>
      <w:r>
        <w:rPr>
          <w:rFonts w:ascii="Arial" w:hAnsi="Arial"/>
          <w:sz w:val="20"/>
        </w:rPr>
        <w:t xml:space="preserve"> Para b × h = 450 × 550 mm y d = 492.55 mm, Mu− = 33.43 kN·m exige As = 738.8 mm²; se proporcionan 4#5 = 796 mm² y φMn− = 143.5 kN·m. Para Mu+ = 21.62 kN·m se disponen 4#5 y φMn+ = 143.5 kN·m. El cortante de diseño es 132.7 kN y se atiende con Nº3 cerrado de 2 ramas @120/@200 mm. Como Tu = 13.22 kN·m supera φTth = 10.09 kN·m, se incorporan 8#5 dedicadas a torsión. VC1 resulta CUMPLE.</w:t>
      </w:r>
    </w:p>
    <w:p>
      <w:pPr>
        <w:pStyle w:val="Descripcin"/>
      </w:pPr>
      <w:r>
        <w:t>Tabla 61. Resumen reconciliado de vigas de carga (450 × 550 mm).</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gridCol w:w="850"/>
        <w:gridCol w:w="850"/>
      </w:tblGrid>
      <w:tr>
        <w:trPr>
          <w:tblHeader w:val="true"/>
        </w:trPr>
        <w:tc>
          <w:tcPr>
            <w:tcW w:type="dxa" w:w="652"/>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Grupo</w:t>
            </w:r>
          </w:p>
        </w:tc>
        <w:tc>
          <w:tcPr>
            <w:tcW w:type="dxa" w:w="397"/>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N</w:t>
            </w:r>
          </w:p>
        </w:tc>
        <w:tc>
          <w:tcPr>
            <w:tcW w:type="dxa" w:w="709"/>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L mín–máx</w:t>
              <w:br/>
              <w:t>(m)</w:t>
            </w:r>
          </w:p>
        </w:tc>
        <w:tc>
          <w:tcPr>
            <w:tcW w:type="dxa" w:w="935"/>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Mu− / Mu+</w:t>
              <w:br/>
              <w:t>(kN·m)</w:t>
            </w:r>
          </w:p>
        </w:tc>
        <w:tc>
          <w:tcPr>
            <w:tcW w:type="dxa" w:w="935"/>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Vu F / Vu C</w:t>
              <w:br/>
              <w:t>(kN)</w:t>
            </w:r>
          </w:p>
        </w:tc>
        <w:tc>
          <w:tcPr>
            <w:tcW w:type="dxa" w:w="62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Tu</w:t>
              <w:br/>
              <w:t>(kN·m)</w:t>
            </w:r>
          </w:p>
        </w:tc>
        <w:tc>
          <w:tcPr>
            <w:tcW w:type="dxa" w:w="1162"/>
            <w:vAlign w:val="center"/>
            <w:tcMar>
              <w:top w:w="40" w:type="dxa"/>
              <w:start w:w="45" w:type="dxa"/>
              <w:bottom w:w="40" w:type="dxa"/>
              <w:end w:w="45" w:type="dxa"/>
            </w:tcMar>
            <w:shd w:fill="1F4E78"/>
          </w:tcPr>
          <w:p>
            <w:pPr>
              <w:spacing w:after="0" w:before="0"/>
              <w:jc w:val="center"/>
            </w:pPr>
            <w:r>
              <w:rPr>
                <w:rFonts w:ascii="Arial" w:hAnsi="Arial"/>
                <w:b/>
                <w:color w:val="FFFFFF"/>
                <w:sz w:val="14"/>
              </w:rPr>
              <w:t>Sup / Inf / Tor</w:t>
            </w:r>
          </w:p>
        </w:tc>
        <w:tc>
          <w:tcPr>
            <w:tcW w:type="dxa" w:w="1984"/>
            <w:vAlign w:val="center"/>
            <w:tcMar>
              <w:top w:w="40" w:type="dxa"/>
              <w:start w:w="45" w:type="dxa"/>
              <w:bottom w:w="40" w:type="dxa"/>
              <w:end w:w="45" w:type="dxa"/>
            </w:tcMar>
            <w:shd w:fill="1F4E78"/>
          </w:tcPr>
          <w:p>
            <w:pPr>
              <w:spacing w:after="0" w:before="0"/>
              <w:jc w:val="center"/>
            </w:pPr>
            <w:r>
              <w:rPr>
                <w:rFonts w:ascii="Arial" w:hAnsi="Arial"/>
                <w:b/>
                <w:color w:val="FFFFFF"/>
                <w:sz w:val="14"/>
              </w:rPr>
              <w:t>Estribo y estado</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VC1</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20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3.75–3.75</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33.4 / 21.6</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27.3 / 74.0</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13.2</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4#5 / 4#5 / 8#5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Nº3 cerrado; 2R</w:t>
              <w:br/>
              <w:t>@120/@200 mm</w:t>
              <w:br/>
              <w:t>CUMPLE</w:t>
              <w:br/>
              <w:t>Detalle: 0/20 NO CUMPLE</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VC2</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3.75–4.00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172.8 / 148.4</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90.1 / 384.6</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11.3</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4#5 / 4#5 / 0#5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Nº3 cerrado; 2R</w:t>
              <w:br/>
              <w:t>@80/@80 mm</w:t>
              <w:br/>
              <w:t>NO CUMPLE</w:t>
              <w:br/>
              <w:t>Detalle: 0/40 NO CUMPLE</w:t>
              <w:br/>
              <w:t>Rev.: flexión −, flexión +, torsión, Al torsional</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VC3</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3.81–4.00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174.4 / 154.9</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100.8 / 399.9</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17.1</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5#5 / 5#5 / 0#5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Nº3 cerrado; 2R</w:t>
              <w:br/>
              <w:t>@70/@70 mm</w:t>
              <w:br/>
              <w:t>NO CUMPLE</w:t>
              <w:br/>
              <w:t>Detalle: 0/40 NO CUMPLE</w:t>
              <w:br/>
              <w:t>Rev.: torsión, Al torsional</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VC4</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20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3.85–3.85</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205.0 / 173.6</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119.0 / 506.8</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74.8</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6#5 / 5#5 / 8#5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4R</w:t>
              <w:br/>
              <w:t>@120/@120 mm</w:t>
              <w:br/>
              <w:t>NO CUMPLE</w:t>
              <w:br/>
              <w:t>Detalle: 4/20 NO CUMPLE</w:t>
              <w:br/>
              <w:t>Rev.: torsión, interacción V-T</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VC5</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3.85–3.90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199.5 / 163.4</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141.4 / 491.1</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124.3</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6#5 / 4#5 / 12#5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(referencia); 4R</w:t>
              <w:br/>
              <w:t>@100/@100 mm</w:t>
              <w:br/>
              <w:t>NO CUMPLE</w:t>
              <w:br/>
              <w:t>Detalle: 16/40 NO CUMPLE</w:t>
              <w:br/>
              <w:t>Rev.: flexión +, cortante, torsión, interacción V-T</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VC6</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3.85–3.90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180.7 / 161.3</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100.1 / 439.5</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123.1</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5#5 / 5#5 / 12#5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(referencia); 4R</w:t>
              <w:br/>
              <w:t>@100/@100 mm</w:t>
              <w:br/>
              <w:t>NO CUMPLE</w:t>
              <w:br/>
              <w:t>Detalle: 8/40 NO CUMPLE</w:t>
              <w:br/>
              <w:t>Rev.: flexión −, cortante, torsión, interacción V-T</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VC7</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2.65–5.10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210.4 / 197.3</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163.1 / 754.7</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24.7</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6#5 / 6#5 / 8#5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4R</w:t>
              <w:br/>
              <w:t>@110/@110 mm</w:t>
              <w:br/>
              <w:t>NO CUMPLE</w:t>
              <w:br/>
              <w:t>Detalle: 4/40 NO CUMPLE</w:t>
              <w:br/>
              <w:t>Rev.: flexión −, límite de Vs, cortante, torsión, interacción V-T</w:t>
            </w:r>
          </w:p>
        </w:tc>
      </w:tr>
    </w:tbl>
    <w:p>
      <w:pPr>
        <w:pStyle w:val="Ttulo2"/>
        <w:jc w:val="both"/>
      </w:pPr>
      <w:r>
        <w:t>Diseño de las vigas de rigidez</w:t>
      </w:r>
    </w:p>
    <w:p>
      <w:pPr>
        <w:spacing w:after="120" w:line="259" w:lineRule="auto"/>
        <w:jc w:val="both"/>
      </w:pPr>
      <w:r>
        <w:rPr>
          <w:rFonts w:ascii="Arial" w:hAnsi="Arial"/>
          <w:sz w:val="20"/>
        </w:rPr>
        <w:t>Las vigas de rigidez comprenden 352 frames agrupados en VR1, VR N1, VR2, VR3 y VRAUX. VR1, VR N1, VR2 y VR3 emplean secciones de 500 × 550 mm; VRAUX utiliza 450 × 550 mm. Las luces varían entre 1.50 y 5.50 m. Se aplicó el mismo procedimiento de flexión, cortante por capacidad, torsión e interacción descrito para las vigas de carga, manteniendo la trazabilidad entre grupo, frame gobernante y envolvente SAP.</w:t>
      </w:r>
    </w:p>
    <w:p>
      <w:pPr>
        <w:spacing w:after="120" w:line="259" w:lineRule="auto"/>
        <w:jc w:val="both"/>
      </w:pPr>
      <w:r>
        <w:rPr>
          <w:rFonts w:ascii="Arial" w:hAnsi="Arial"/>
          <w:b/>
          <w:sz w:val="20"/>
        </w:rPr>
        <w:t>Resultados y condición de revisión.</w:t>
      </w:r>
      <w:r>
        <w:rPr>
          <w:rFonts w:ascii="Arial" w:hAnsi="Arial"/>
          <w:sz w:val="20"/>
        </w:rPr>
        <w:t xml:space="preserve"> En la hoja detallada se obtuvieron 538 frames CUMPLE y 54 frames NO CUMPLE. En el resumen grupal únicamente VC1, VR1 y VRAUX alcanzan CUMPLE con todas las comprobaciones actuales; los nueve grupos restantes conservan NO CUMPLE por una o más verificaciones de flexión, cortante, torsión, acero longitudinal torsional o interacción V-T. Estos resultados no se corrigieron alterando armados de forma automática: deben revisarse y rediseñarse antes de una eventual emisión profesional. La Tabla 62 identifica además cuántos frames detallados fallan dentro de cada grupo.</w:t>
      </w:r>
    </w:p>
    <w:p>
      <w:pPr>
        <w:pStyle w:val="Descripcin"/>
      </w:pPr>
      <w:r>
        <w:t>Tabla 62. Resumen reconciliado de vigas de rigidez (500 × 550 mm; VRAUX 450 × 550 mm).</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gridCol w:w="850"/>
        <w:gridCol w:w="850"/>
      </w:tblGrid>
      <w:tr>
        <w:trPr>
          <w:tblHeader w:val="true"/>
        </w:trPr>
        <w:tc>
          <w:tcPr>
            <w:tcW w:type="dxa" w:w="652"/>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Grupo</w:t>
            </w:r>
          </w:p>
        </w:tc>
        <w:tc>
          <w:tcPr>
            <w:tcW w:type="dxa" w:w="397"/>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N</w:t>
            </w:r>
          </w:p>
        </w:tc>
        <w:tc>
          <w:tcPr>
            <w:tcW w:type="dxa" w:w="709"/>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L mín–máx</w:t>
              <w:br/>
              <w:t>(m)</w:t>
            </w:r>
          </w:p>
        </w:tc>
        <w:tc>
          <w:tcPr>
            <w:tcW w:type="dxa" w:w="935"/>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Mu− / Mu+</w:t>
              <w:br/>
              <w:t>(kN·m)</w:t>
            </w:r>
          </w:p>
        </w:tc>
        <w:tc>
          <w:tcPr>
            <w:tcW w:type="dxa" w:w="935"/>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Vu F / Vu C</w:t>
              <w:br/>
              <w:t>(kN)</w:t>
            </w:r>
          </w:p>
        </w:tc>
        <w:tc>
          <w:tcPr>
            <w:tcW w:type="dxa" w:w="62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Tu</w:t>
              <w:br/>
              <w:t>(kN·m)</w:t>
            </w:r>
          </w:p>
        </w:tc>
        <w:tc>
          <w:tcPr>
            <w:tcW w:type="dxa" w:w="1162"/>
            <w:vAlign w:val="center"/>
            <w:tcMar>
              <w:top w:w="40" w:type="dxa"/>
              <w:start w:w="45" w:type="dxa"/>
              <w:bottom w:w="40" w:type="dxa"/>
              <w:end w:w="45" w:type="dxa"/>
            </w:tcMar>
            <w:shd w:fill="1F4E78"/>
          </w:tcPr>
          <w:p>
            <w:pPr>
              <w:spacing w:after="0" w:before="0"/>
              <w:jc w:val="center"/>
            </w:pPr>
            <w:r>
              <w:rPr>
                <w:rFonts w:ascii="Arial" w:hAnsi="Arial"/>
                <w:b/>
                <w:color w:val="FFFFFF"/>
                <w:sz w:val="14"/>
              </w:rPr>
              <w:t>Sup / Inf / Tor</w:t>
            </w:r>
          </w:p>
        </w:tc>
        <w:tc>
          <w:tcPr>
            <w:tcW w:type="dxa" w:w="1984"/>
            <w:vAlign w:val="center"/>
            <w:tcMar>
              <w:top w:w="40" w:type="dxa"/>
              <w:start w:w="45" w:type="dxa"/>
              <w:bottom w:w="40" w:type="dxa"/>
              <w:end w:w="45" w:type="dxa"/>
            </w:tcMar>
            <w:shd w:fill="1F4E78"/>
          </w:tcPr>
          <w:p>
            <w:pPr>
              <w:spacing w:after="0" w:before="0"/>
              <w:jc w:val="center"/>
            </w:pPr>
            <w:r>
              <w:rPr>
                <w:rFonts w:ascii="Arial" w:hAnsi="Arial"/>
                <w:b/>
                <w:color w:val="FFFFFF"/>
                <w:sz w:val="14"/>
              </w:rPr>
              <w:t>Estribo y estado</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VR1</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80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2.50–4.00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179.4 / 134.7</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162.7 / 614.4</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10.5</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6#5 / 5#5 / 0#5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Nº3 cerrado; 2R</w:t>
              <w:br/>
              <w:t>@40/@40 mm</w:t>
              <w:br/>
              <w:t>CUMPLE</w:t>
              <w:br/>
              <w:t>Detalle: 0/80 NO CUMPLE</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VR N1</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22</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2.50–5.50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203.7 / 164.9</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181.1 / 703.3</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15.1</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5#5 / 5#5 / 0#5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2R</w:t>
              <w:br/>
              <w:t>@60/@60 mm</w:t>
              <w:br/>
              <w:t>NO CUMPLE</w:t>
              <w:br/>
              <w:t>Detalle: 0/22 NO CUMPLE</w:t>
              <w:br/>
              <w:t>Rev.: flexión −, torsión, Al torsional</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VR2</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140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1.50–4.18</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232.5 / 174.0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186.6 / 745.7</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140.7</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5#5 / 5#5 / 16#5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4R</w:t>
              <w:br/>
              <w:t>@70/@70 mm</w:t>
              <w:br/>
              <w:t>NO CUMPLE</w:t>
              <w:br/>
              <w:t>Detalle: 16/140 NO CUMPLE</w:t>
              <w:br/>
              <w:t>Rev.: flexión −, torsión, interacción V-T</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VR3</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70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1.50–4.00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278.4 / 153.2</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209.9 / 720.6</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175.8</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5#5 / 5#5 / 16#5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Nº4 cerrado (referencia); 4R</w:t>
              <w:br/>
              <w:t>@70/@70 mm</w:t>
              <w:br/>
              <w:t>NO CUMPLE</w:t>
              <w:br/>
              <w:t>Detalle: 6/70 NO CUMPLE</w:t>
              <w:br/>
              <w:t>Rev.: flexión −, cortante, torsión, interacción V-T</w:t>
            </w:r>
          </w:p>
        </w:tc>
      </w:tr>
      <w:tr>
        <w:tc>
          <w:tcPr>
            <w:tcW w:type="dxa" w:w="652"/>
            <w:vAlign w:val="center"/>
            <w:tcMar>
              <w:top w:w="40" w:type="dxa"/>
              <w:start w:w="45" w:type="dxa"/>
              <w:bottom w:w="40" w:type="dxa"/>
              <w:end w:w="45" w:type="dxa"/>
            </w:tcMar>
          </w:tcPr>
          <w:p>
            <w:pPr>
              <w:spacing w:after="0" w:before="0"/>
              <w:jc w:val="center"/>
            </w:pPr>
            <w:r>
              <w:rPr>
                <w:rFonts w:ascii="Arial" w:hAnsi="Arial"/>
                <w:b w:val="0"/>
                <w:color w:val="000000"/>
                <w:sz w:val="13"/>
              </w:rPr>
              <w:t>VRAUX</w:t>
            </w:r>
          </w:p>
        </w:tc>
        <w:tc>
          <w:tcPr>
            <w:tcW w:type="dxa" w:w="397"/>
            <w:vAlign w:val="center"/>
            <w:tcMar>
              <w:top w:w="40" w:type="dxa"/>
              <w:start w:w="45" w:type="dxa"/>
              <w:bottom w:w="40" w:type="dxa"/>
              <w:end w:w="45" w:type="dxa"/>
            </w:tcMar>
          </w:tcPr>
          <w:p>
            <w:pPr>
              <w:spacing w:after="0" w:before="0"/>
              <w:jc w:val="center"/>
            </w:pPr>
            <w:r>
              <w:rPr>
                <w:rFonts w:ascii="Arial" w:hAnsi="Arial"/>
                <w:b w:val="0"/>
                <w:color w:val="000000"/>
                <w:sz w:val="13"/>
              </w:rPr>
              <w:t>40</w:t>
            </w:r>
          </w:p>
        </w:tc>
        <w:tc>
          <w:tcPr>
            <w:tcW w:type="dxa" w:w="709"/>
            <w:vAlign w:val="center"/>
            <w:tcMar>
              <w:top w:w="40" w:type="dxa"/>
              <w:start w:w="45" w:type="dxa"/>
              <w:bottom w:w="40" w:type="dxa"/>
              <w:end w:w="45" w:type="dxa"/>
            </w:tcMar>
          </w:tcPr>
          <w:p>
            <w:pPr>
              <w:spacing w:after="0" w:before="0"/>
              <w:jc w:val="center"/>
            </w:pPr>
            <w:r>
              <w:rPr>
                <w:rFonts w:ascii="Arial" w:hAnsi="Arial"/>
                <w:b w:val="0"/>
                <w:color w:val="000000"/>
                <w:sz w:val="13"/>
              </w:rPr>
              <w:t>2.50–2.60</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48.9 / 41.2</w:t>
            </w:r>
          </w:p>
        </w:tc>
        <w:tc>
          <w:tcPr>
            <w:tcW w:type="dxa" w:w="935"/>
            <w:vAlign w:val="center"/>
            <w:tcMar>
              <w:top w:w="40" w:type="dxa"/>
              <w:start w:w="45" w:type="dxa"/>
              <w:bottom w:w="40" w:type="dxa"/>
              <w:end w:w="45" w:type="dxa"/>
            </w:tcMar>
          </w:tcPr>
          <w:p>
            <w:pPr>
              <w:spacing w:after="0" w:before="0"/>
              <w:jc w:val="center"/>
            </w:pPr>
            <w:r>
              <w:rPr>
                <w:rFonts w:ascii="Arial" w:hAnsi="Arial"/>
                <w:b w:val="0"/>
                <w:color w:val="000000"/>
                <w:sz w:val="13"/>
              </w:rPr>
              <w:t>43.3 / 169.7</w:t>
            </w:r>
          </w:p>
        </w:tc>
        <w:tc>
          <w:tcPr>
            <w:tcW w:type="dxa" w:w="624"/>
            <w:vAlign w:val="center"/>
            <w:tcMar>
              <w:top w:w="40" w:type="dxa"/>
              <w:start w:w="45" w:type="dxa"/>
              <w:bottom w:w="40" w:type="dxa"/>
              <w:end w:w="45" w:type="dxa"/>
            </w:tcMar>
          </w:tcPr>
          <w:p>
            <w:pPr>
              <w:spacing w:after="0" w:before="0"/>
              <w:jc w:val="center"/>
            </w:pPr>
            <w:r>
              <w:rPr>
                <w:rFonts w:ascii="Arial" w:hAnsi="Arial"/>
                <w:b w:val="0"/>
                <w:color w:val="000000"/>
                <w:sz w:val="13"/>
              </w:rPr>
              <w:t>17.5</w:t>
            </w:r>
          </w:p>
        </w:tc>
        <w:tc>
          <w:tcPr>
            <w:tcW w:type="dxa" w:w="1162"/>
            <w:vAlign w:val="center"/>
            <w:tcMar>
              <w:top w:w="40" w:type="dxa"/>
              <w:start w:w="45" w:type="dxa"/>
              <w:bottom w:w="40" w:type="dxa"/>
              <w:end w:w="45" w:type="dxa"/>
            </w:tcMar>
          </w:tcPr>
          <w:p>
            <w:pPr>
              <w:spacing w:after="0" w:before="0"/>
              <w:jc w:val="center"/>
            </w:pPr>
            <w:r>
              <w:rPr>
                <w:rFonts w:ascii="Arial" w:hAnsi="Arial"/>
                <w:b w:val="0"/>
                <w:color w:val="000000"/>
                <w:sz w:val="13"/>
              </w:rPr>
              <w:t>4#5 / 4#5 / 8#5</w:t>
            </w:r>
          </w:p>
        </w:tc>
        <w:tc>
          <w:tcPr>
            <w:tcW w:type="dxa" w:w="1984"/>
            <w:vAlign w:val="center"/>
            <w:tcMar>
              <w:top w:w="40" w:type="dxa"/>
              <w:start w:w="45" w:type="dxa"/>
              <w:bottom w:w="40" w:type="dxa"/>
              <w:end w:w="45" w:type="dxa"/>
            </w:tcMar>
            <w:shd w:fill="F4CCCC"/>
          </w:tcPr>
          <w:p>
            <w:pPr>
              <w:spacing w:after="0" w:before="0"/>
              <w:jc w:val="center"/>
            </w:pPr>
            <w:r>
              <w:rPr>
                <w:rFonts w:ascii="Arial" w:hAnsi="Arial"/>
                <w:b w:val="0"/>
                <w:color w:val="000000"/>
                <w:sz w:val="13"/>
              </w:rPr>
              <w:t>Nº3 cerrado; 2R</w:t>
              <w:br/>
              <w:t>@120/@180 mm</w:t>
              <w:br/>
              <w:t>CUMPLE</w:t>
              <w:br/>
              <w:t>Detalle: 0/40 NO CUMPLE</w:t>
            </w:r>
          </w:p>
        </w:tc>
      </w:tr>
    </w:tbl>
    <w:p>
      <w:pPr>
        <w:pStyle w:val="Ttulo2"/>
        <w:jc w:val="both"/>
      </w:pPr>
      <w:r>
        <w:t xml:space="preserve">Diseño de las riostras de cimentación</w:t>
      </w:r>
    </w:p>
    <w:p>
      <w:pPr>
        <w:jc w:val="both"/>
      </w:pPr>
      <w:r>
        <w:rPr>
          <w:rFonts w:ascii="Times New Roman" w:hAnsi="Times New Roman"/>
          <w:sz w:val="24"/>
          <w:szCs w:val="24"/>
        </w:rPr>
        <w:t xml:space="preserve">Las riostras de cimentación, o vigas de amarre, interconectan las zapatas y garantizan que la cimentación se comporte de manera integral ante las acciones sísmicas, conforme lo exige la sección A.3.6.4.2 del Reglamento NSR-10. Según dicha disposición, los elementos de amarre deben resistir, en tracción o en compresión, una fuerza axial no menor que el veinticinco por ciento del coeficiente Aa multiplicado por la carga vertical mayorada de la columna más cargada que conectan.</w:t>
      </w:r>
    </w:p>
    <w:p>
      <w:pPr>
        <w:jc w:val="both"/>
      </w:pPr>
      <w:r>
        <w:rPr>
          <w:rFonts w:ascii="Times New Roman" w:hAnsi="Times New Roman"/>
          <w:sz w:val="24"/>
          <w:szCs w:val="24"/>
        </w:rPr>
        <w:t xml:space="preserve">Para el proyecto, con Aa igual a 0.15 y una carga axial mayorada máxima en columnas de 2591 kilonewton obtenida del modelo, la fuerza de diseño resulta N = 0.25 × 0.15 × 2591 = 97.2 kilonewton. La dimensión mínima de la sección se toma como la luz entre apoyos dividida entre veinte, que para la mayor luz de 4.00 metros equivale a 200 milímetros; por ello se adopta una sección de 0.30 por 0.30 metros. El acero requerido por tracción es As = N dividido entre el producto de 0.90 y 420, igual a 257 milímetros cuadrados, superior al mínimo de 233 milímetros cuadrados, y se cubre con cuatro barras número 5 dispuestas simétricamente, equivalentes a 516 milímetros cuadrados, cuya resistencia reducida a tracción de 195 kilonewton supera la solicitación; en compresión la sección resiste ampliamente la misma fuerza. El refuerzo transversal se dispone con estribos número 3 cada 150 milímetros, reducidos a 100 milímetros en las zonas de confinamiento contiguas a las columnas. Todas las riostras se diseñan con la misma sección y refuerzo y se agrupan por longitud para el despiece, como se resume en la Tabla 63.</w:t>
      </w:r>
    </w:p>
    <w:p>
      <w:pPr>
        <w:jc w:val="center"/>
      </w:pPr>
      <w:r>
        <w:rPr>
          <w:rFonts w:ascii="Times New Roman" w:hAnsi="Times New Roman"/>
          <w:b/>
          <w:sz w:val="20"/>
          <w:szCs w:val="20"/>
        </w:rPr>
        <w:t xml:space="preserve">Tabla 63. Resumen del diseño de las riostras de cimentación (0.30 × 0.30 m).</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D9E1F2"/>
          </w:tcPr>
          <w:p>
            <w:pPr>
              <w:jc w:val="center"/>
            </w:pPr>
            <w:r>
              <w:rPr>
                <w:rFonts w:ascii="Times New Roman" w:hAnsi="Times New Roman"/>
                <w:b/>
                <w:sz w:val="18"/>
                <w:szCs w:val="18"/>
              </w:rPr>
              <w:t xml:space="preserve">Tipo</w:t>
            </w:r>
          </w:p>
        </w:tc>
        <w:tc>
          <w:tcPr>
            <w:tcW w:type="dxa" w:w="1560"/>
            <w:shd w:val="clear" w:color="auto" w:fill="D9E1F2"/>
          </w:tcPr>
          <w:p>
            <w:pPr>
              <w:jc w:val="center"/>
            </w:pPr>
            <w:r>
              <w:rPr>
                <w:rFonts w:ascii="Times New Roman" w:hAnsi="Times New Roman"/>
                <w:b/>
                <w:sz w:val="18"/>
                <w:szCs w:val="18"/>
              </w:rPr>
              <w:t xml:space="preserve">Longitud (m)</w:t>
            </w:r>
          </w:p>
        </w:tc>
        <w:tc>
          <w:tcPr>
            <w:tcW w:type="dxa" w:w="1560"/>
            <w:shd w:val="clear" w:color="auto" w:fill="D9E1F2"/>
          </w:tcPr>
          <w:p>
            <w:pPr>
              <w:jc w:val="center"/>
            </w:pPr>
            <w:r>
              <w:rPr>
                <w:rFonts w:ascii="Times New Roman" w:hAnsi="Times New Roman"/>
                <w:b/>
                <w:sz w:val="18"/>
                <w:szCs w:val="18"/>
              </w:rPr>
              <w:t xml:space="preserve">Nº riostras</w:t>
            </w:r>
          </w:p>
        </w:tc>
        <w:tc>
          <w:tcPr>
            <w:tcW w:type="dxa" w:w="1560"/>
            <w:shd w:val="clear" w:color="auto" w:fill="D9E1F2"/>
          </w:tcPr>
          <w:p>
            <w:pPr>
              <w:jc w:val="center"/>
            </w:pPr>
            <w:r>
              <w:rPr>
                <w:rFonts w:ascii="Times New Roman" w:hAnsi="Times New Roman"/>
                <w:b/>
                <w:sz w:val="18"/>
                <w:szCs w:val="18"/>
              </w:rPr>
              <w:t xml:space="preserve">Sección</w:t>
            </w:r>
          </w:p>
        </w:tc>
        <w:tc>
          <w:tcPr>
            <w:tcW w:type="dxa" w:w="1560"/>
            <w:shd w:val="clear" w:color="auto" w:fill="D9E1F2"/>
          </w:tcPr>
          <w:p>
            <w:pPr>
              <w:jc w:val="center"/>
            </w:pPr>
            <w:r>
              <w:rPr>
                <w:rFonts w:ascii="Times New Roman" w:hAnsi="Times New Roman"/>
                <w:b/>
                <w:sz w:val="18"/>
                <w:szCs w:val="18"/>
              </w:rPr>
              <w:t xml:space="preserve">Refuerzo longitudinal</w:t>
            </w:r>
          </w:p>
        </w:tc>
        <w:tc>
          <w:tcPr>
            <w:tcW w:type="dxa" w:w="1560"/>
            <w:shd w:val="clear" w:color="auto" w:fill="D9E1F2"/>
          </w:tcPr>
          <w:p>
            <w:pPr>
              <w:jc w:val="center"/>
            </w:pPr>
            <w:r>
              <w:rPr>
                <w:rFonts w:ascii="Times New Roman" w:hAnsi="Times New Roman"/>
                <w:b/>
                <w:sz w:val="18"/>
                <w:szCs w:val="18"/>
              </w:rPr>
              <w:t xml:space="preserve">Estribos Nº3</w:t>
            </w:r>
          </w:p>
        </w:tc>
      </w:tr>
      <w:tr>
        <w:tc>
          <w:tcPr>
            <w:tcW w:type="dxa" w:w="1560"/>
          </w:tcPr>
          <w:p>
            <w:pPr>
              <w:jc w:val="center"/>
            </w:pPr>
            <w:r>
              <w:rPr>
                <w:rFonts w:ascii="Times New Roman" w:hAnsi="Times New Roman"/>
                <w:b w:val="0"/>
                <w:sz w:val="18"/>
                <w:szCs w:val="18"/>
              </w:rPr>
              <w:t xml:space="preserve">R-1</w:t>
            </w:r>
          </w:p>
        </w:tc>
        <w:tc>
          <w:tcPr>
            <w:tcW w:type="dxa" w:w="1560"/>
          </w:tcPr>
          <w:p>
            <w:pPr>
              <w:jc w:val="center"/>
            </w:pPr>
            <w:r>
              <w:rPr>
                <w:rFonts w:ascii="Times New Roman" w:hAnsi="Times New Roman"/>
                <w:b w:val="0"/>
                <w:sz w:val="18"/>
                <w:szCs w:val="18"/>
              </w:rPr>
              <w:t xml:space="preserve">2.50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R-2</w:t>
            </w:r>
          </w:p>
        </w:tc>
        <w:tc>
          <w:tcPr>
            <w:tcW w:type="dxa" w:w="1560"/>
          </w:tcPr>
          <w:p>
            <w:pPr>
              <w:jc w:val="center"/>
            </w:pPr>
            <w:r>
              <w:rPr>
                <w:rFonts w:ascii="Times New Roman" w:hAnsi="Times New Roman"/>
                <w:b w:val="0"/>
                <w:sz w:val="18"/>
                <w:szCs w:val="18"/>
              </w:rPr>
              <w:t xml:space="preserve">2.60</w:t>
            </w:r>
          </w:p>
        </w:tc>
        <w:tc>
          <w:tcPr>
            <w:tcW w:type="dxa" w:w="1560"/>
          </w:tcPr>
          <w:p>
            <w:pPr>
              <w:jc w:val="center"/>
            </w:pPr>
            <w:r>
              <w:rPr>
                <w:rFonts w:ascii="Times New Roman" w:hAnsi="Times New Roman"/>
                <w:b w:val="0"/>
                <w:sz w:val="18"/>
                <w:szCs w:val="18"/>
              </w:rPr>
              <w:t xml:space="preserve">20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R-3</w:t>
            </w:r>
          </w:p>
        </w:tc>
        <w:tc>
          <w:tcPr>
            <w:tcW w:type="dxa" w:w="1560"/>
          </w:tcPr>
          <w:p>
            <w:pPr>
              <w:jc w:val="center"/>
            </w:pPr>
            <w:r>
              <w:rPr>
                <w:rFonts w:ascii="Times New Roman" w:hAnsi="Times New Roman"/>
                <w:b w:val="0"/>
                <w:sz w:val="18"/>
                <w:szCs w:val="18"/>
              </w:rPr>
              <w:t xml:space="preserve">2.70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R-4</w:t>
            </w:r>
          </w:p>
        </w:tc>
        <w:tc>
          <w:tcPr>
            <w:tcW w:type="dxa" w:w="1560"/>
          </w:tcPr>
          <w:p>
            <w:pPr>
              <w:jc w:val="center"/>
            </w:pPr>
            <w:r>
              <w:rPr>
                <w:rFonts w:ascii="Times New Roman" w:hAnsi="Times New Roman"/>
                <w:b w:val="0"/>
                <w:sz w:val="18"/>
                <w:szCs w:val="18"/>
              </w:rPr>
              <w:t xml:space="preserve">2.80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R-5</w:t>
            </w:r>
          </w:p>
        </w:tc>
        <w:tc>
          <w:tcPr>
            <w:tcW w:type="dxa" w:w="1560"/>
          </w:tcPr>
          <w:p>
            <w:pPr>
              <w:jc w:val="center"/>
            </w:pPr>
            <w:r>
              <w:rPr>
                <w:rFonts w:ascii="Times New Roman" w:hAnsi="Times New Roman"/>
                <w:b w:val="0"/>
                <w:sz w:val="18"/>
                <w:szCs w:val="18"/>
              </w:rPr>
              <w:t xml:space="preserve">3.65</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R-6</w:t>
            </w:r>
          </w:p>
        </w:tc>
        <w:tc>
          <w:tcPr>
            <w:tcW w:type="dxa" w:w="1560"/>
          </w:tcPr>
          <w:p>
            <w:pPr>
              <w:jc w:val="center"/>
            </w:pPr>
            <w:r>
              <w:rPr>
                <w:rFonts w:ascii="Times New Roman" w:hAnsi="Times New Roman"/>
                <w:b w:val="0"/>
                <w:sz w:val="18"/>
                <w:szCs w:val="18"/>
              </w:rPr>
              <w:t xml:space="preserve">3.85</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R-7</w:t>
            </w:r>
          </w:p>
        </w:tc>
        <w:tc>
          <w:tcPr>
            <w:tcW w:type="dxa" w:w="1560"/>
          </w:tcPr>
          <w:p>
            <w:pPr>
              <w:jc w:val="center"/>
            </w:pPr>
            <w:r>
              <w:rPr>
                <w:rFonts w:ascii="Times New Roman" w:hAnsi="Times New Roman"/>
                <w:b w:val="0"/>
                <w:sz w:val="18"/>
                <w:szCs w:val="18"/>
              </w:rPr>
              <w:t xml:space="preserve">3.90</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R-8</w:t>
            </w:r>
          </w:p>
        </w:tc>
        <w:tc>
          <w:tcPr>
            <w:tcW w:type="dxa" w:w="1560"/>
          </w:tcPr>
          <w:p>
            <w:pPr>
              <w:jc w:val="center"/>
            </w:pPr>
            <w:r>
              <w:rPr>
                <w:rFonts w:ascii="Times New Roman" w:hAnsi="Times New Roman"/>
                <w:b w:val="0"/>
                <w:sz w:val="18"/>
                <w:szCs w:val="18"/>
              </w:rPr>
              <w:t xml:space="preserve">4.00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bl>
    <w:p>
      <w:pPr>
        <w:pStyle w:val="Ttulo2"/>
        <w:jc w:val="both"/>
      </w:pPr>
      <w:r>
        <w:rPr>
          <w:rFonts w:ascii="Times New Roman" w:hAnsi="Times New Roman"/>
          <w:b w:val="0"/>
          <w:i w:val="0"/>
          <w:sz w:val="28"/>
          <w:rFonts w:ascii="Times New Roman" w:hAnsi="Times New Roman"/>
        </w:rPr>
        <w:t>Despiece de los elementos</w:t>
      </w:r>
    </w:p>
    <w:p>
      <w:pPr>
        <w:spacing w:after="120" w:line="259" w:lineRule="auto"/>
        <w:jc w:val="both"/>
      </w:pPr>
      <w:r>
        <w:rPr>
          <w:rFonts w:ascii="Arial" w:hAnsi="Arial"/>
          <w:sz w:val="20"/>
        </w:rPr>
        <w:t>El despiece de vigas se presenta en cuatro láminas B2 agrupadas por familia. Cada tramo dibujado identifica el frame SAP y rotula Mu−, Mu+, Vu de ENVFLEX, Vu de ENVCORT, Tu y su estado calculado. Los paneles laterales muestran sección, refuerzo, estribos, estado de grupo y cantidad de frames NO CUMPLE. Los planos conservan la leyenda DETALLE ACADÉMICO — NO EMITIR PARA CONSTRUCCIÓN y no constituyen planos aprobados ni base autorizada para armado en obra.</w:t>
      </w:r>
    </w:p>
    <w:p>
      <w:pPr>
        <w:pStyle w:val="Ttulo2"/>
      </w:pPr>
      <w:r>
        <w:rPr>
          <w:rFonts w:ascii="Times New Roman" w:hAnsi="Times New Roman"/>
          <w:b w:val="0"/>
          <w:i w:val="0"/>
          <w:sz w:val="28"/>
          <w:rFonts w:ascii="Times New Roman" w:hAnsi="Times New Roman"/>
        </w:rPr>
        <w:t>Longitudes de desarrollo, ganchos y estribos</w:t>
      </w:r>
    </w:p>
    <w:p>
      <w:pPr>
        <w:spacing w:after="120" w:line="259" w:lineRule="auto"/>
        <w:jc w:val="both"/>
      </w:pPr>
      <w:r>
        <w:rPr>
          <w:rFonts w:ascii="Arial" w:hAnsi="Arial"/>
          <w:sz w:val="20"/>
        </w:rPr>
        <w:t>Para el despiece se adoptan las longitudes verificadas en la entrega parcial y en el generador CAD: ld inferior = 370 mm, ld superior = 480 mm y ldh para barra #5 = 305 mm. Los ganchos de las barras principales son de 90°, con cola de 195 mm y diámetro interior de doblado de 100 mm. Los estribos cerrados terminan en ganchos sísmicos de 135°. La aplicabilidad y disponibilidad geométrica de cada anclaje debe confirmarse en la revisión final de nudos.</w:t>
      </w:r>
    </w:p>
    <w:p>
      <w:pPr>
        <w:pStyle w:val="Descripcin"/>
      </w:pPr>
      <w:r>
        <w:t>Tabla 64. Longitudes de desarrollo y geometría de ganchos adoptadas (mm).</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rPr>
          <w:tblHeader w:val="true"/>
        </w:trPr>
        <w:tc>
          <w:tcPr>
            <w:tcW w:type="dxa" w:w="79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Barra</w:t>
            </w:r>
          </w:p>
        </w:tc>
        <w:tc>
          <w:tcPr>
            <w:tcW w:type="dxa" w:w="680"/>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db</w:t>
            </w:r>
          </w:p>
        </w:tc>
        <w:tc>
          <w:tcPr>
            <w:tcW w:type="dxa" w:w="680"/>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ldh</w:t>
            </w:r>
          </w:p>
        </w:tc>
        <w:tc>
          <w:tcPr>
            <w:tcW w:type="dxa" w:w="850"/>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Cola 90°</w:t>
            </w:r>
          </w:p>
        </w:tc>
        <w:tc>
          <w:tcPr>
            <w:tcW w:type="dxa" w:w="96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Gancho 135°</w:t>
            </w:r>
          </w:p>
        </w:tc>
        <w:tc>
          <w:tcPr>
            <w:tcW w:type="dxa" w:w="79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Doblado</w:t>
            </w:r>
          </w:p>
        </w:tc>
      </w:tr>
      <w:tr>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#3</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9.5</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181</w:t>
            </w:r>
          </w:p>
        </w:tc>
        <w:tc>
          <w:tcPr>
            <w:tcW w:type="dxa" w:w="850"/>
            <w:vAlign w:val="center"/>
            <w:tcMar>
              <w:top w:w="40" w:type="dxa"/>
              <w:start w:w="45" w:type="dxa"/>
              <w:bottom w:w="40" w:type="dxa"/>
              <w:end w:w="45" w:type="dxa"/>
            </w:tcMar>
          </w:tcPr>
          <w:p>
            <w:pPr>
              <w:spacing w:after="0" w:before="0"/>
              <w:jc w:val="center"/>
            </w:pPr>
            <w:r>
              <w:rPr>
                <w:rFonts w:ascii="Arial" w:hAnsi="Arial"/>
                <w:b w:val="0"/>
                <w:color w:val="000000"/>
                <w:sz w:val="13"/>
              </w:rPr>
              <w:t>114</w:t>
            </w:r>
          </w:p>
        </w:tc>
        <w:tc>
          <w:tcPr>
            <w:tcW w:type="dxa" w:w="964"/>
            <w:vAlign w:val="center"/>
            <w:tcMar>
              <w:top w:w="40" w:type="dxa"/>
              <w:start w:w="45" w:type="dxa"/>
              <w:bottom w:w="40" w:type="dxa"/>
              <w:end w:w="45" w:type="dxa"/>
            </w:tcMar>
          </w:tcPr>
          <w:p>
            <w:pPr>
              <w:spacing w:after="0" w:before="0"/>
              <w:jc w:val="center"/>
            </w:pPr>
            <w:r>
              <w:rPr>
                <w:rFonts w:ascii="Arial" w:hAnsi="Arial"/>
                <w:b w:val="0"/>
                <w:color w:val="000000"/>
                <w:sz w:val="13"/>
              </w:rPr>
              <w:t>75</w:t>
            </w:r>
          </w:p>
        </w:tc>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57</w:t>
            </w:r>
          </w:p>
        </w:tc>
      </w:tr>
      <w:tr>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#4</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12.7</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242</w:t>
            </w:r>
          </w:p>
        </w:tc>
        <w:tc>
          <w:tcPr>
            <w:tcW w:type="dxa" w:w="850"/>
            <w:vAlign w:val="center"/>
            <w:tcMar>
              <w:top w:w="40" w:type="dxa"/>
              <w:start w:w="45" w:type="dxa"/>
              <w:bottom w:w="40" w:type="dxa"/>
              <w:end w:w="45" w:type="dxa"/>
            </w:tcMar>
          </w:tcPr>
          <w:p>
            <w:pPr>
              <w:spacing w:after="0" w:before="0"/>
              <w:jc w:val="center"/>
            </w:pPr>
            <w:r>
              <w:rPr>
                <w:rFonts w:ascii="Arial" w:hAnsi="Arial"/>
                <w:b w:val="0"/>
                <w:color w:val="000000"/>
                <w:sz w:val="13"/>
              </w:rPr>
              <w:t>152</w:t>
            </w:r>
          </w:p>
        </w:tc>
        <w:tc>
          <w:tcPr>
            <w:tcW w:type="dxa" w:w="964"/>
            <w:vAlign w:val="center"/>
            <w:tcMar>
              <w:top w:w="40" w:type="dxa"/>
              <w:start w:w="45" w:type="dxa"/>
              <w:bottom w:w="40" w:type="dxa"/>
              <w:end w:w="45" w:type="dxa"/>
            </w:tcMar>
          </w:tcPr>
          <w:p>
            <w:pPr>
              <w:spacing w:after="0" w:before="0"/>
              <w:jc w:val="center"/>
            </w:pPr>
            <w:r>
              <w:rPr>
                <w:rFonts w:ascii="Arial" w:hAnsi="Arial"/>
                <w:b w:val="0"/>
                <w:color w:val="000000"/>
                <w:sz w:val="13"/>
              </w:rPr>
              <w:t>76</w:t>
            </w:r>
          </w:p>
        </w:tc>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76</w:t>
            </w:r>
          </w:p>
        </w:tc>
      </w:tr>
      <w:tr>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#5</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15.9</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305</w:t>
            </w:r>
          </w:p>
        </w:tc>
        <w:tc>
          <w:tcPr>
            <w:tcW w:type="dxa" w:w="850"/>
            <w:vAlign w:val="center"/>
            <w:tcMar>
              <w:top w:w="40" w:type="dxa"/>
              <w:start w:w="45" w:type="dxa"/>
              <w:bottom w:w="40" w:type="dxa"/>
              <w:end w:w="45" w:type="dxa"/>
            </w:tcMar>
          </w:tcPr>
          <w:p>
            <w:pPr>
              <w:spacing w:after="0" w:before="0"/>
              <w:jc w:val="center"/>
            </w:pPr>
            <w:r>
              <w:rPr>
                <w:rFonts w:ascii="Arial" w:hAnsi="Arial"/>
                <w:b w:val="0"/>
                <w:color w:val="000000"/>
                <w:sz w:val="13"/>
              </w:rPr>
              <w:t>195</w:t>
            </w:r>
          </w:p>
        </w:tc>
        <w:tc>
          <w:tcPr>
            <w:tcW w:type="dxa" w:w="964"/>
            <w:vAlign w:val="center"/>
            <w:tcMar>
              <w:top w:w="40" w:type="dxa"/>
              <w:start w:w="45" w:type="dxa"/>
              <w:bottom w:w="40" w:type="dxa"/>
              <w:end w:w="45" w:type="dxa"/>
            </w:tcMar>
          </w:tcPr>
          <w:p>
            <w:pPr>
              <w:spacing w:after="0" w:before="0"/>
              <w:jc w:val="center"/>
            </w:pPr>
            <w:r>
              <w:rPr>
                <w:rFonts w:ascii="Arial" w:hAnsi="Arial"/>
                <w:b w:val="0"/>
                <w:color w:val="000000"/>
                <w:sz w:val="13"/>
              </w:rPr>
              <w:t>95</w:t>
            </w:r>
          </w:p>
        </w:tc>
        <w:tc>
          <w:tcPr>
            <w:tcW w:type="dxa" w:w="794"/>
            <w:vAlign w:val="center"/>
            <w:tcMar>
              <w:top w:w="40" w:type="dxa"/>
              <w:start w:w="45" w:type="dxa"/>
              <w:bottom w:w="40" w:type="dxa"/>
              <w:end w:w="45" w:type="dxa"/>
            </w:tcMar>
          </w:tcPr>
          <w:p>
            <w:pPr>
              <w:spacing w:after="0" w:before="0"/>
              <w:jc w:val="center"/>
            </w:pPr>
            <w:r>
              <w:rPr>
                <w:rFonts w:ascii="Arial" w:hAnsi="Arial"/>
                <w:b w:val="0"/>
                <w:color w:val="000000"/>
                <w:sz w:val="13"/>
              </w:rPr>
              <w:t>100</w:t>
            </w:r>
          </w:p>
        </w:tc>
      </w:tr>
    </w:tbl>
    <w:p>
      <w:pPr>
        <w:spacing w:after="120" w:line="259" w:lineRule="auto"/>
        <w:jc w:val="both"/>
      </w:pPr>
      <w:r>
        <w:rPr>
          <w:rFonts w:ascii="Arial" w:hAnsi="Arial"/>
          <w:sz w:val="20"/>
        </w:rPr>
        <w:t>Las barras superiores de apoyo se prolongan como mínimo un cuarto de las luces adyacentes más el desarrollo requerido; las inferiores se detallan por tramo con anclaje en ambos extremos. Las longitudes definitivas se obtienen frame por frame a partir de la geometría SAP y no mediante una única luz representativa para toda la familia.</w:t>
      </w:r>
    </w:p>
    <w:p>
      <w:pPr>
        <w:pStyle w:val="Descripcin"/>
      </w:pPr>
      <w:r>
        <w:t>Tabla 65. Criterio de longitud de corte de barras longitudinales.</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rPr>
          <w:tblHeader w:val="true"/>
        </w:trPr>
        <w:tc>
          <w:tcPr>
            <w:tcW w:type="dxa" w:w="1361"/>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Elemento</w:t>
            </w:r>
          </w:p>
        </w:tc>
        <w:tc>
          <w:tcPr>
            <w:tcW w:type="dxa" w:w="680"/>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Barra</w:t>
            </w:r>
          </w:p>
        </w:tc>
        <w:tc>
          <w:tcPr>
            <w:tcW w:type="dxa" w:w="113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Rango de luz (m)</w:t>
            </w:r>
          </w:p>
        </w:tc>
        <w:tc>
          <w:tcPr>
            <w:tcW w:type="dxa" w:w="113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Anclaje</w:t>
            </w:r>
          </w:p>
        </w:tc>
        <w:tc>
          <w:tcPr>
            <w:tcW w:type="dxa" w:w="1757"/>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Criterio de corte</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Viga de carga</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#5</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2.65–5.10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ldh 305 mm</w:t>
            </w:r>
          </w:p>
        </w:tc>
        <w:tc>
          <w:tcPr>
            <w:tcW w:type="dxa" w:w="1757"/>
            <w:vAlign w:val="center"/>
            <w:tcMar>
              <w:top w:w="40" w:type="dxa"/>
              <w:start w:w="45" w:type="dxa"/>
              <w:bottom w:w="40" w:type="dxa"/>
              <w:end w:w="45" w:type="dxa"/>
            </w:tcMar>
          </w:tcPr>
          <w:p>
            <w:pPr>
              <w:spacing w:after="0" w:before="0"/>
              <w:jc w:val="center"/>
            </w:pPr>
            <w:r>
              <w:rPr>
                <w:rFonts w:ascii="Arial" w:hAnsi="Arial"/>
                <w:b w:val="0"/>
                <w:color w:val="000000"/>
                <w:sz w:val="13"/>
              </w:rPr>
              <w:t>Por frame: Lclara + anclajes</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Viga de rigidez</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#5</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1.50–5.50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ldh 305 mm</w:t>
            </w:r>
          </w:p>
        </w:tc>
        <w:tc>
          <w:tcPr>
            <w:tcW w:type="dxa" w:w="1757"/>
            <w:vAlign w:val="center"/>
            <w:tcMar>
              <w:top w:w="40" w:type="dxa"/>
              <w:start w:w="45" w:type="dxa"/>
              <w:bottom w:w="40" w:type="dxa"/>
              <w:end w:w="45" w:type="dxa"/>
            </w:tcMar>
          </w:tcPr>
          <w:p>
            <w:pPr>
              <w:spacing w:after="0" w:before="0"/>
              <w:jc w:val="center"/>
            </w:pPr>
            <w:r>
              <w:rPr>
                <w:rFonts w:ascii="Arial" w:hAnsi="Arial"/>
                <w:b w:val="0"/>
                <w:color w:val="000000"/>
                <w:sz w:val="13"/>
              </w:rPr>
              <w:t>Por frame: Lclara + anclajes</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Vigueta</w:t>
            </w:r>
          </w:p>
        </w:tc>
        <w:tc>
          <w:tcPr>
            <w:tcW w:type="dxa" w:w="680"/>
            <w:vAlign w:val="center"/>
            <w:tcMar>
              <w:top w:w="40" w:type="dxa"/>
              <w:start w:w="45" w:type="dxa"/>
              <w:bottom w:w="40" w:type="dxa"/>
              <w:end w:w="45" w:type="dxa"/>
            </w:tcMar>
          </w:tcPr>
          <w:p>
            <w:pPr>
              <w:spacing w:after="0" w:before="0"/>
              <w:jc w:val="center"/>
            </w:pPr>
            <w:r>
              <w:rPr>
                <w:rFonts w:ascii="Arial" w:hAnsi="Arial"/>
                <w:b w:val="0"/>
                <w:color w:val="000000"/>
                <w:sz w:val="13"/>
              </w:rPr>
              <w:t>#4</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hasta 4.80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ldh 242 mm</w:t>
            </w:r>
          </w:p>
        </w:tc>
        <w:tc>
          <w:tcPr>
            <w:tcW w:type="dxa" w:w="1757"/>
            <w:vAlign w:val="center"/>
            <w:tcMar>
              <w:top w:w="40" w:type="dxa"/>
              <w:start w:w="45" w:type="dxa"/>
              <w:bottom w:w="40" w:type="dxa"/>
              <w:end w:w="45" w:type="dxa"/>
            </w:tcMar>
          </w:tcPr>
          <w:p>
            <w:pPr>
              <w:spacing w:after="0" w:before="0"/>
              <w:jc w:val="center"/>
            </w:pPr>
            <w:r>
              <w:rPr>
                <w:rFonts w:ascii="Arial" w:hAnsi="Arial"/>
                <w:b w:val="0"/>
                <w:color w:val="000000"/>
                <w:sz w:val="13"/>
              </w:rPr>
              <w:t>Según entrega parcial</w:t>
            </w:r>
          </w:p>
        </w:tc>
      </w:tr>
    </w:tbl>
    <w:p>
      <w:pPr>
        <w:spacing w:after="120" w:line="259" w:lineRule="auto"/>
        <w:jc w:val="both"/>
      </w:pPr>
      <w:r>
        <w:rPr>
          <w:rFonts w:ascii="Arial" w:hAnsi="Arial"/>
          <w:sz w:val="20"/>
        </w:rPr>
        <w:t>La zona de confinamiento se extiende 2h = 1 100 mm desde la cara de cada apoyo. Las separaciones calculadas varían por grupo y se reproducen en las Tablas 61 y 62; no debe sustituirse esa información por una separación única. Se emplean estribos cerrados #3 o #4, de dos o cuatro ramas, según demanda de cortante y torsión.</w:t>
      </w:r>
    </w:p>
    <w:p>
      <w:pPr>
        <w:pStyle w:val="Descripcin"/>
      </w:pPr>
      <w:r>
        <w:t>Tabla 66. Separaciones de estribos y zonas de confinamiento vigentes.</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rPr>
          <w:tblHeader w:val="true"/>
        </w:trPr>
        <w:tc>
          <w:tcPr>
            <w:tcW w:type="dxa" w:w="1361"/>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Elemento</w:t>
            </w:r>
          </w:p>
        </w:tc>
        <w:tc>
          <w:tcPr>
            <w:tcW w:type="dxa" w:w="113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d (mm)</w:t>
            </w:r>
          </w:p>
        </w:tc>
        <w:tc>
          <w:tcPr>
            <w:tcW w:type="dxa" w:w="1020"/>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Zona 2h (mm)</w:t>
            </w:r>
          </w:p>
        </w:tc>
        <w:tc>
          <w:tcPr>
            <w:tcW w:type="dxa" w:w="113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s extremo (mm)</w:t>
            </w:r>
          </w:p>
        </w:tc>
        <w:tc>
          <w:tcPr>
            <w:tcW w:type="dxa" w:w="1134"/>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s centro (mm)</w:t>
            </w:r>
          </w:p>
        </w:tc>
        <w:tc>
          <w:tcPr>
            <w:tcW w:type="dxa" w:w="1417"/>
            <w:shd w:val="clear" w:fill="1F4E78"/>
            <w:vAlign w:val="center"/>
            <w:tcMar>
              <w:top w:w="40" w:type="dxa"/>
              <w:start w:w="45" w:type="dxa"/>
              <w:bottom w:w="40" w:type="dxa"/>
              <w:end w:w="45" w:type="dxa"/>
            </w:tcMar>
          </w:tcPr>
          <w:p>
            <w:pPr>
              <w:spacing w:after="0" w:before="0"/>
              <w:jc w:val="center"/>
            </w:pPr>
            <w:r>
              <w:rPr>
                <w:rFonts w:ascii="Arial" w:hAnsi="Arial"/>
                <w:b/>
                <w:color w:val="FFFFFF"/>
                <w:sz w:val="14"/>
              </w:rPr>
              <w:t>Configuración</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Vigas de carga</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489.35–492.55</w:t>
            </w:r>
          </w:p>
        </w:tc>
        <w:tc>
          <w:tcPr>
            <w:tcW w:type="dxa" w:w="1020"/>
            <w:vAlign w:val="center"/>
            <w:tcMar>
              <w:top w:w="40" w:type="dxa"/>
              <w:start w:w="45" w:type="dxa"/>
              <w:bottom w:w="40" w:type="dxa"/>
              <w:end w:w="45" w:type="dxa"/>
            </w:tcMar>
          </w:tcPr>
          <w:p>
            <w:pPr>
              <w:spacing w:after="0" w:before="0"/>
              <w:jc w:val="center"/>
            </w:pPr>
            <w:r>
              <w:rPr>
                <w:rFonts w:ascii="Arial" w:hAnsi="Arial"/>
                <w:b w:val="0"/>
                <w:color w:val="000000"/>
                <w:sz w:val="13"/>
              </w:rPr>
              <w:t>1 100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70–120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70–200</w:t>
            </w:r>
          </w:p>
        </w:tc>
        <w:tc>
          <w:tcPr>
            <w:tcW w:type="dxa" w:w="1417"/>
            <w:vAlign w:val="center"/>
            <w:tcMar>
              <w:top w:w="40" w:type="dxa"/>
              <w:start w:w="45" w:type="dxa"/>
              <w:bottom w:w="40" w:type="dxa"/>
              <w:end w:w="45" w:type="dxa"/>
            </w:tcMar>
          </w:tcPr>
          <w:p>
            <w:pPr>
              <w:spacing w:after="0" w:before="0"/>
              <w:jc w:val="center"/>
            </w:pPr>
            <w:r>
              <w:rPr>
                <w:rFonts w:ascii="Arial" w:hAnsi="Arial"/>
                <w:b w:val="0"/>
                <w:color w:val="000000"/>
                <w:sz w:val="13"/>
              </w:rPr>
              <w:t>#3/#4; 2/4 ramas</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Vigas de rigidez</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489.35–492.55</w:t>
            </w:r>
          </w:p>
        </w:tc>
        <w:tc>
          <w:tcPr>
            <w:tcW w:type="dxa" w:w="1020"/>
            <w:vAlign w:val="center"/>
            <w:tcMar>
              <w:top w:w="40" w:type="dxa"/>
              <w:start w:w="45" w:type="dxa"/>
              <w:bottom w:w="40" w:type="dxa"/>
              <w:end w:w="45" w:type="dxa"/>
            </w:tcMar>
          </w:tcPr>
          <w:p>
            <w:pPr>
              <w:spacing w:after="0" w:before="0"/>
              <w:jc w:val="center"/>
            </w:pPr>
            <w:r>
              <w:rPr>
                <w:rFonts w:ascii="Arial" w:hAnsi="Arial"/>
                <w:b w:val="0"/>
                <w:color w:val="000000"/>
                <w:sz w:val="13"/>
              </w:rPr>
              <w:t>1 100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40–120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40–180</w:t>
            </w:r>
          </w:p>
        </w:tc>
        <w:tc>
          <w:tcPr>
            <w:tcW w:type="dxa" w:w="1417"/>
            <w:vAlign w:val="center"/>
            <w:tcMar>
              <w:top w:w="40" w:type="dxa"/>
              <w:start w:w="45" w:type="dxa"/>
              <w:bottom w:w="40" w:type="dxa"/>
              <w:end w:w="45" w:type="dxa"/>
            </w:tcMar>
          </w:tcPr>
          <w:p>
            <w:pPr>
              <w:spacing w:after="0" w:before="0"/>
              <w:jc w:val="center"/>
            </w:pPr>
            <w:r>
              <w:rPr>
                <w:rFonts w:ascii="Arial" w:hAnsi="Arial"/>
                <w:b w:val="0"/>
                <w:color w:val="000000"/>
                <w:sz w:val="13"/>
              </w:rPr>
              <w:t>#3/#4; 2/4 ramas</w:t>
            </w:r>
          </w:p>
        </w:tc>
      </w:tr>
      <w:tr>
        <w:tc>
          <w:tcPr>
            <w:tcW w:type="dxa" w:w="1361"/>
            <w:vAlign w:val="center"/>
            <w:tcMar>
              <w:top w:w="40" w:type="dxa"/>
              <w:start w:w="45" w:type="dxa"/>
              <w:bottom w:w="40" w:type="dxa"/>
              <w:end w:w="45" w:type="dxa"/>
            </w:tcMar>
          </w:tcPr>
          <w:p>
            <w:pPr>
              <w:spacing w:after="0" w:before="0"/>
              <w:jc w:val="center"/>
            </w:pPr>
            <w:r>
              <w:rPr>
                <w:rFonts w:ascii="Arial" w:hAnsi="Arial"/>
                <w:b w:val="0"/>
                <w:color w:val="000000"/>
                <w:sz w:val="13"/>
              </w:rPr>
              <w:t>Vigueta</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304</w:t>
            </w:r>
          </w:p>
        </w:tc>
        <w:tc>
          <w:tcPr>
            <w:tcW w:type="dxa" w:w="1020"/>
            <w:vAlign w:val="center"/>
            <w:tcMar>
              <w:top w:w="40" w:type="dxa"/>
              <w:start w:w="45" w:type="dxa"/>
              <w:bottom w:w="40" w:type="dxa"/>
              <w:end w:w="45" w:type="dxa"/>
            </w:tcMar>
          </w:tcPr>
          <w:p>
            <w:pPr>
              <w:spacing w:after="0" w:before="0"/>
              <w:jc w:val="center"/>
            </w:pPr>
            <w:r>
              <w:rPr>
                <w:rFonts w:ascii="Arial" w:hAnsi="Arial"/>
                <w:b w:val="0"/>
                <w:color w:val="000000"/>
                <w:sz w:val="13"/>
              </w:rPr>
              <w:t>680</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Según diseño</w:t>
            </w:r>
          </w:p>
        </w:tc>
        <w:tc>
          <w:tcPr>
            <w:tcW w:type="dxa" w:w="1134"/>
            <w:vAlign w:val="center"/>
            <w:tcMar>
              <w:top w:w="40" w:type="dxa"/>
              <w:start w:w="45" w:type="dxa"/>
              <w:bottom w:w="40" w:type="dxa"/>
              <w:end w:w="45" w:type="dxa"/>
            </w:tcMar>
          </w:tcPr>
          <w:p>
            <w:pPr>
              <w:spacing w:after="0" w:before="0"/>
              <w:jc w:val="center"/>
            </w:pPr>
            <w:r>
              <w:rPr>
                <w:rFonts w:ascii="Arial" w:hAnsi="Arial"/>
                <w:b w:val="0"/>
                <w:color w:val="000000"/>
                <w:sz w:val="13"/>
              </w:rPr>
              <w:t>Según diseño</w:t>
            </w:r>
          </w:p>
        </w:tc>
        <w:tc>
          <w:tcPr>
            <w:tcW w:type="dxa" w:w="1417"/>
            <w:vAlign w:val="center"/>
            <w:tcMar>
              <w:top w:w="40" w:type="dxa"/>
              <w:start w:w="45" w:type="dxa"/>
              <w:bottom w:w="40" w:type="dxa"/>
              <w:end w:w="45" w:type="dxa"/>
            </w:tcMar>
          </w:tcPr>
          <w:p>
            <w:pPr>
              <w:spacing w:after="0" w:before="0"/>
              <w:jc w:val="center"/>
            </w:pPr>
            <w:r>
              <w:rPr>
                <w:rFonts w:ascii="Arial" w:hAnsi="Arial"/>
                <w:b w:val="0"/>
                <w:color w:val="000000"/>
                <w:sz w:val="13"/>
              </w:rPr>
              <w:t>Entrega parcial</w:t>
            </w:r>
          </w:p>
        </w:tc>
      </w:tr>
    </w:tbl>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Libro reconciliado: Diseño de vigas proyecto diseño DEF.xlsx</w:t>
      </w:r>
    </w:p>
    <w:p w14:paraId="0A8EE00C" w14:textId="77777777" w:rsidR="004D0720" w:rsidRPr="004D0720" w:rsidRDefault="004D0720" w:rsidP="004D0720">
      <w:pPr>
        <w:rPr>
          <w:lang w:val="es-CO"/>
        </w:rPr>
      </w:pPr>
      <w:r>
        <w:t>Planos: Planos-Autocad-B2-Vigas-Continuas/</w:t>
      </w:r>
    </w:p>
    <w:p w14:paraId="2264D413" w14:textId="77777777" w:rsidR="004D0720" w:rsidRPr="004D0720" w:rsidRDefault="004D0720" w:rsidP="004D0720">
      <w:pPr>
        <w:rPr>
          <w:lang w:val="es-CO"/>
        </w:rPr>
      </w:pPr>
    </w:p>
    <w:p w14:paraId="12DC73E3" w14:textId="77777777" w:rsidR="004D0720" w:rsidRPr="004D0720" w:rsidRDefault="004D0720" w:rsidP="004D0720"/>
    <w:p>
      <w:r>
        <w:br w:type="page"/>
      </w:r>
    </w:p>
    <w:p>
      <w:pPr>
        <w:pStyle w:val="Ttulo1"/>
        <w:jc w:val="left"/>
      </w:pPr>
      <w:r>
        <w:t>ANEXO — TRAZABILIDAD DEL DISEÑO DE VIGAS</w:t>
      </w:r>
    </w:p>
    <w:p>
      <w:pPr>
        <w:spacing w:after="120" w:line="259" w:lineRule="auto"/>
        <w:jc w:val="both"/>
      </w:pPr>
      <w:r>
        <w:rPr>
          <w:rFonts w:ascii="Arial" w:hAnsi="Arial"/>
          <w:sz w:val="20"/>
        </w:rPr>
        <w:t>La entrega se reconstruyó a partir de resultados sap.xlsx y geomatria sap.xlsx. El libro Diseño de vigas proyecto diseño DEF.xlsx conserva 21.744 fórmulas, contiene parámetros internos, no presenta vínculos [1] ni errores Excel almacenados, y cubre 592 frames distribuidos en 12 grupos. El recálculo produjo 538 estados CUMPLE y 54 estados NO CUMPLE en la hoja detallada.</w:t>
      </w:r>
    </w:p>
    <w:p>
      <w:pPr>
        <w:spacing w:after="120" w:line="259" w:lineRule="auto"/>
        <w:jc w:val="both"/>
      </w:pPr>
      <w:r>
        <w:rPr>
          <w:rFonts w:ascii="Arial" w:hAnsi="Arial"/>
          <w:sz w:val="20"/>
        </w:rPr>
        <w:t>Los estados anteriores son verificaciones automáticas del libro; no constituyen aprobación estructural. Los grupos o frames NO CUMPLE deben corregirse, recalcularse y someterse a revisión profesional antes de cualquier emisión para construcción.</w:t>
      </w:r>
    </w:p>
    <w:p>
      <w:pPr>
        <w:pStyle w:val="Ttulo2"/>
      </w:pPr>
      <w:r>
        <w:t>Archivos que respaldan este capítulo</w:t>
      </w:r>
    </w:p>
    <w:p>
      <w:pPr>
        <w:spacing w:after="120" w:line="259" w:lineRule="auto"/>
        <w:jc w:val="both"/>
      </w:pPr>
      <w:r>
        <w:rPr>
          <w:rFonts w:ascii="Arial" w:hAnsi="Arial"/>
          <w:sz w:val="20"/>
        </w:rPr>
        <w:t>• Diseño de vigas proyecto diseño DEF.xlsx — cálculo por grupo y por frame.</w:t>
      </w:r>
    </w:p>
    <w:p>
      <w:pPr>
        <w:spacing w:after="120" w:line="259" w:lineRule="auto"/>
        <w:jc w:val="both"/>
      </w:pPr>
      <w:r>
        <w:rPr>
          <w:rFonts w:ascii="Arial" w:hAnsi="Arial"/>
          <w:sz w:val="20"/>
        </w:rPr>
        <w:t>• resultados sap.xlsx — fuerzas ENVFLEX y ENVCORT y asignaciones de grupos.</w:t>
      </w:r>
    </w:p>
    <w:p>
      <w:pPr>
        <w:spacing w:after="120" w:line="259" w:lineRule="auto"/>
        <w:jc w:val="both"/>
      </w:pPr>
      <w:r>
        <w:rPr>
          <w:rFonts w:ascii="Arial" w:hAnsi="Arial"/>
          <w:sz w:val="20"/>
        </w:rPr>
        <w:t>• geomatria sap.xlsx — conectividad, luces y secciones del modelo.</w:t>
      </w:r>
    </w:p>
    <w:p>
      <w:pPr>
        <w:spacing w:after="120" w:line="259" w:lineRule="auto"/>
        <w:jc w:val="both"/>
      </w:pPr>
      <w:r>
        <w:rPr>
          <w:rFonts w:ascii="Arial" w:hAnsi="Arial"/>
          <w:sz w:val="20"/>
        </w:rPr>
        <w:t>• Planos-Autocad-B2-Vigas-Continuas/ — DXF, PDF, PNG y paquete ZIP.</w:t>
      </w:r>
    </w:p>
    <w:p>
      <w:pPr>
        <w:spacing w:after="120" w:line="259" w:lineRule="auto"/>
        <w:jc w:val="both"/>
      </w:pPr>
      <w:r>
        <w:rPr>
          <w:rFonts w:ascii="Arial" w:hAnsi="Arial"/>
          <w:sz w:val="20"/>
        </w:rPr>
        <w:t>• reconciliar_diseno_vigas.py — reconciliación y recálculo reproducible.</w:t>
      </w:r>
    </w:p>
    <w:p>
      <w:pPr>
        <w:spacing w:after="120" w:line="259" w:lineRule="auto"/>
        <w:jc w:val="both"/>
      </w:pPr>
      <w:r>
        <w:rPr>
          <w:rFonts w:ascii="Arial" w:hAnsi="Arial"/>
          <w:sz w:val="20"/>
        </w:rPr>
        <w:t>• generar_planos_vigas_continuas_b2.py — generación y auditoría CAD.</w:t>
      </w:r>
    </w:p>
    <w:p>
      <w:pPr>
        <w:pStyle w:val="Ttulo2"/>
      </w:pPr>
      <w:r>
        <w:t>Vista previa de las láminas B2 de vigas</w:t>
      </w:r>
    </w:p>
    <w:p>
      <w:pPr>
        <w:jc w:val="center"/>
      </w:pPr>
      <w:r>
        <w:drawing>
          <wp:inline xmlns:a="http://schemas.openxmlformats.org/drawingml/2006/main" xmlns:pic="http://schemas.openxmlformats.org/drawingml/2006/picture">
            <wp:extent cx="5897880" cy="4404640"/>
            <wp:docPr id="2110921123" name="Picture 2110921123"/>
            <wp:cNvGraphicFramePr>
              <a:graphicFrameLocks noChangeAspect="1"/>
            </wp:cNvGraphicFramePr>
            <a:graphic>
              <a:graphicData uri="http://schemas.openxmlformats.org/drawingml/2006/picture">
                <pic:pic>
                  <pic:nvPicPr>
                    <pic:cNvPr id="0" name="VISTA-PREVIA-TODAS-LAS-LAMINAS.png"/>
                    <pic:cNvPicPr/>
                  </pic:nvPicPr>
                  <pic:blipFill>
                    <a:blip r:embed="rId86"/>
                    <a:stretch>
                      <a:fillRect/>
                    </a:stretch>
                  </pic:blipFill>
                  <pic:spPr>
                    <a:xfrm>
                      <a:off x="0" y="0"/>
                      <a:ext cx="5897880" cy="4404640"/>
                    </a:xfrm>
                    <a:prstGeom prst="rect"/>
                  </pic:spPr>
                </pic:pic>
              </a:graphicData>
            </a:graphic>
          </wp:inline>
        </w:drawing>
      </w:r>
    </w:p>
    <w:p>
      <w:pPr>
        <w:pStyle w:val="Descripcin"/>
        <w:jc w:val="center"/>
      </w:pPr>
      <w:r>
        <w:t>Ilustración. Láminas B2 reconciliadas de vigas de carga y vigas de rigidez.</w:t>
      </w:r>
    </w:p>
    <w:p>
      <w:pPr>
        <w:spacing w:after="120" w:line="259" w:lineRule="auto"/>
        <w:jc w:val="center"/>
      </w:pPr>
      <w:r>
        <w:rPr>
          <w:rFonts w:ascii="Arial" w:hAnsi="Arial"/>
          <w:b/>
          <w:color w:val="C00000"/>
          <w:sz w:val="20"/>
        </w:rPr>
        <w:t>DETALLE ACADÉMICO — NO EMITIR PARA CONSTRUCCIÓN</w:t>
      </w:r>
    </w:p>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 Id="rId86"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estructural actualizada — diseño reconciliado de vigas</dc:title>
  <dc:subject>Diseño de 592 vigas en 12 grupos con trazabilidad SAP</dc:subject>
  <dc:creator>crisrian bautista</dc:creator>
  <cp:keywords/>
  <dc:description>Entrega académica. Conserva estados NO CUMPLE y no autoriza construcción.</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