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  <w:sz w:val="30"/>
        </w:rPr>
        <w:t>Proyecto PEPI — Optimización y ampliación del sistema de acueducto del municipio de Tadó (Chocó)</w:t>
      </w:r>
    </w:p>
    <w:p>
      <w:pPr>
        <w:jc w:val="both"/>
      </w:pPr>
      <w:r>
        <w:rPr>
          <w:b/>
        </w:rPr>
        <w:t>Informe de Preparación y Evaluación de Proyectos de Ingeniería (PEPI)</w:t>
      </w:r>
    </w:p>
    <w:p>
      <w:pPr>
        <w:jc w:val="both"/>
      </w:pPr>
      <w:r>
        <w:t>Cifras monetarias en millones de pesos colombianos (COP MM) salvo indicación contraria.</w:t>
      </w:r>
    </w:p>
    <w:p>
      <w:pPr>
        <w:jc w:val="both"/>
      </w:pPr>
      <w:r>
        <w:t xml:space="preserve">Todos los datos, parámetros de diseño y fuentes se relacionan en la </w:t>
      </w:r>
      <w:r>
        <w:rPr>
          <w:b/>
        </w:rPr>
        <w:t>Sección 10 (Fuentes)</w:t>
      </w:r>
      <w:r>
        <w:t>.</w:t>
      </w:r>
    </w:p>
    <w:p>
      <w:pPr>
        <w:pStyle w:val="Heading2"/>
      </w:pPr>
      <w:r>
        <w:rPr>
          <w:color w:val="1F4E79"/>
          <w:sz w:val="24"/>
        </w:rPr>
        <w:t>1. Resumen Ejecutivo</w:t>
      </w:r>
    </w:p>
    <w:p>
      <w:pPr>
        <w:jc w:val="both"/>
      </w:pPr>
      <w:r>
        <w:t xml:space="preserve">El municipio de </w:t>
      </w:r>
      <w:r>
        <w:rPr>
          <w:b/>
        </w:rPr>
        <w:t>Tadó (Chocó)</w:t>
      </w:r>
      <w:r>
        <w:t xml:space="preserve"> se ubica en la zona del </w:t>
      </w:r>
      <w:r>
        <w:rPr>
          <w:b/>
        </w:rPr>
        <w:t>Alto San Juan</w:t>
      </w:r>
      <w:r>
        <w:t xml:space="preserve">, sobre la margen izquierda del </w:t>
      </w:r>
      <w:r>
        <w:rPr>
          <w:b/>
        </w:rPr>
        <w:t>río San Juan</w:t>
      </w:r>
      <w:r>
        <w:t xml:space="preserve"> (y a la derecha del río Mungarrá), a 75 m s. n. m., en una de las regiones </w:t>
      </w:r>
      <w:r>
        <w:rPr>
          <w:b/>
        </w:rPr>
        <w:t>más lluviosas del planeta</w:t>
      </w:r>
      <w:r>
        <w:t xml:space="preserve"> (clima de selva tropical húmeda). Según el DANE (CNPV 2018 y proyecciones), tiene </w:t>
      </w:r>
      <w:r>
        <w:rPr>
          <w:b/>
        </w:rPr>
        <w:t>20.476 habitantes</w:t>
      </w:r>
      <w:r>
        <w:t xml:space="preserve"> (proyección 2025), de los cuales </w:t>
      </w:r>
      <w:r>
        <w:rPr>
          <w:b/>
        </w:rPr>
        <w:t>11.917 residen en la cabecera municipal</w:t>
      </w:r>
      <w:r>
        <w:t>. Es un municipio con altos índices de pobreza (NBI), economía minera (oro y platino) y un déficit histórico en agua potable y saneamiento.</w:t>
      </w:r>
    </w:p>
    <w:p>
      <w:pPr>
        <w:jc w:val="both"/>
      </w:pPr>
      <w:r>
        <w:t xml:space="preserve">El proyecto consiste en la </w:t>
      </w:r>
      <w:r>
        <w:rPr>
          <w:b/>
        </w:rPr>
        <w:t>construcción de una nueva Planta de Tratamiento de Agua Potable (PTAP) de 45 L/s</w:t>
      </w:r>
      <w:r>
        <w:t xml:space="preserve"> y la </w:t>
      </w:r>
      <w:r>
        <w:rPr>
          <w:b/>
        </w:rPr>
        <w:t>optimización integral del sistema</w:t>
      </w:r>
      <w:r>
        <w:t xml:space="preserve"> (captación robusta sobre el río San Juan, aducción, almacenamiento, redes de distribución sectorizadas y micromedición) para la cabecera de Tadó. El </w:t>
      </w:r>
      <w:r>
        <w:rPr>
          <w:b/>
        </w:rPr>
        <w:t>objetivo central</w:t>
      </w:r>
      <w:r>
        <w:t xml:space="preserve"> es garantizar agua potable </w:t>
      </w:r>
      <w:r>
        <w:rPr>
          <w:b/>
        </w:rPr>
        <w:t>continua (24 h)</w:t>
      </w:r>
      <w:r>
        <w:t xml:space="preserve"> y de calidad (IRCA &lt; 5 %, Resolución 2115 de 2007), reducir el índice de agua no contabilizada (IANC) a la meta del 25 % (Resolución 0330 de 2017) y elevar la cobertura cercana al 100 %.</w:t>
      </w:r>
    </w:p>
    <w:p>
      <w:pPr>
        <w:jc w:val="both"/>
      </w:pPr>
      <w:r>
        <w:t xml:space="preserve">El </w:t>
      </w:r>
      <w:r>
        <w:rPr>
          <w:b/>
        </w:rPr>
        <w:t>caudal de diseño</w:t>
      </w:r>
      <w:r>
        <w:t xml:space="preserve"> se calculó según la </w:t>
      </w:r>
      <w:r>
        <w:rPr>
          <w:b/>
        </w:rPr>
        <w:t>Resolución 0330 de 2017 (RAS)</w:t>
      </w:r>
      <w:r>
        <w:t xml:space="preserve"> para un horizonte de 25 años: caudal máximo diario </w:t>
      </w:r>
      <w:r>
        <w:rPr>
          <w:b/>
        </w:rPr>
        <w:t>QMD = 40,8 L/s</w:t>
      </w:r>
      <w:r>
        <w:t xml:space="preserve"> (capacidad PTAP adoptada de 45 L/s). La </w:t>
      </w:r>
      <w:r>
        <w:rPr>
          <w:b/>
        </w:rPr>
        <w:t>inversión total (CAPEX)</w:t>
      </w:r>
      <w:r>
        <w:t xml:space="preserve"> asciende a </w:t>
      </w:r>
      <w:r>
        <w:rPr>
          <w:b/>
        </w:rPr>
        <w:t>COP 13.470 MM</w:t>
      </w:r>
      <w:r>
        <w:t xml:space="preserve">, estructurada de forma realista para un municipio de altísima pobreza como Tadó: </w:t>
      </w:r>
      <w:r>
        <w:rPr>
          <w:b/>
        </w:rPr>
        <w:t>90 % con aporte público no reembolsable</w:t>
      </w:r>
      <w:r>
        <w:t xml:space="preserve"> (Sistema General de Regalías / Plan Departamental de Agua / SGP / cooperación), </w:t>
      </w:r>
      <w:r>
        <w:rPr>
          <w:b/>
        </w:rPr>
        <w:t>5 % deuda</w:t>
      </w:r>
      <w:r>
        <w:t xml:space="preserve"> y </w:t>
      </w:r>
      <w:r>
        <w:rPr>
          <w:b/>
        </w:rPr>
        <w:t>5 % equity</w:t>
      </w:r>
      <w:r>
        <w:t>.</w:t>
      </w:r>
    </w:p>
    <w:p>
      <w:pPr>
        <w:jc w:val="both"/>
      </w:pPr>
      <w:r>
        <w:rPr>
          <w:b/>
        </w:rPr>
        <w:t>Resultado de la evaluación (doble óptica):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Evaluación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Interpretación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Financiera del proyecto "puro"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VPN @WACC 10,58 %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−COP 10.523 MM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No es rentable solo con tarifas (típico de acueductos pequeños)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Financiera del inversionista (con cofinanciación)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TIR / VPN @Ke 14 %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30,2 % / +COP 1.064 MM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Viable con 90 % de aporte público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Socioeconómica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VPN @tasa social 9 % (DNP) / B/C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+COP 5.123 MM / 1,18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Altamente justificado socialmente</w:t>
            </w:r>
          </w:p>
        </w:tc>
      </w:tr>
    </w:tbl>
    <w:p/>
    <w:p>
      <w:pPr>
        <w:jc w:val="both"/>
      </w:pPr>
      <w:r>
        <w:rPr>
          <w:b/>
        </w:rPr>
        <w:t>Conclusión:</w:t>
      </w:r>
      <w:r>
        <w:t xml:space="preserve"> el proyecto </w:t>
      </w:r>
      <w:r>
        <w:rPr>
          <w:b/>
        </w:rPr>
        <w:t>no se sostiene con tarifas por sí solo</w:t>
      </w:r>
      <w:r>
        <w:t xml:space="preserve"> —algo normal y esperado en municipios pequeños y con alta pobreza— pero es </w:t>
      </w:r>
      <w:r>
        <w:rPr>
          <w:b/>
        </w:rPr>
        <w:t>socialmente muy rentable</w:t>
      </w:r>
      <w:r>
        <w:t xml:space="preserve"> y </w:t>
      </w:r>
      <w:r>
        <w:rPr>
          <w:b/>
        </w:rPr>
        <w:t>financieramente viable cuando se cofinancia mayoritariamente con recursos públicos</w:t>
      </w:r>
      <w:r>
        <w:t>, que es exactamente el mecanismo con el que el Estado y la cooperación internacional han intervenido el acueducto de Tadó.</w:t>
      </w:r>
    </w:p>
    <w:p>
      <w:pPr>
        <w:pStyle w:val="Heading2"/>
      </w:pPr>
      <w:r>
        <w:rPr>
          <w:color w:val="1F4E79"/>
          <w:sz w:val="24"/>
        </w:rPr>
        <w:t>2. Árbol de Problemas</w:t>
      </w:r>
    </w:p>
    <w:p>
      <w:pPr>
        <w:jc w:val="both"/>
      </w:pPr>
      <w:r>
        <w:rPr>
          <w:b/>
        </w:rPr>
        <w:t>Problema central:</w:t>
      </w:r>
      <w:r>
        <w:t xml:space="preserve"> Deficiente prestación del servicio de acueducto en la cabecera de Tadó (Chocó). Los efectos (consecuencias) se ubican arriba y las causas abajo.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5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proble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4E79"/>
          <w:sz w:val="24"/>
        </w:rPr>
        <w:t>3. Árbol de Objetivos</w:t>
      </w:r>
    </w:p>
    <w:p>
      <w:pPr>
        <w:jc w:val="both"/>
      </w:pPr>
      <w:r>
        <w:rPr>
          <w:b/>
        </w:rPr>
        <w:t>Objetivo central:</w:t>
      </w:r>
      <w:r>
        <w:t xml:space="preserve"> Mejorar la prestación del servicio de acueducto en Tadó. Es el espejo positivo del árbol de problemas: cada causa se transforma en un medio y cada efecto en un fin.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5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objetiv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4E79"/>
          <w:sz w:val="24"/>
        </w:rPr>
        <w:t>4. Matriz de Marco Lógico (MML)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Resumen narrativo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Indicadores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Medios de verificación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Supuestos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FIN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Contribuir al desarrollo social y económico de Tadó mejorando la salud pública.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Reducción de morbilidad por EDA y enfermedades vectoriales a 3 años; mejora del IDM.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SIVIGILA; Secretaría de Salud del Chocó; DANE.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Continuidad de la política social y mantenimiento de la inversión.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PROPÓSITO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Garantizar servicio de acueducto continuo (24 h), con calidad y cobertura cercana al 100 % en la cabecera.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Continuidad 24 h; IRCA &lt; 5 % (Res 2115/2007); IANC ≤ 25 % (Res 0330/2017); cobertura ≥ 98 %.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Informes SUI–SSPD; reportes IRCA del INS; auditorías al prestador.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La población se conecta y paga la tarifa regulada (CRA).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COMPONENTES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1) PTAP de 45 L/s operando. 2) Captación y aducción confiables. 3) Redes sectorizadas. 4) Micromedición instalada.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PTAP a capacidad (QMD 40,8 L/s); km de red renovada; N° de micromedidores.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Actas de recibo de obra; pruebas de funcionamiento; inventario de activos.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Disponibilidad de predios, permisos ambientales (CODECHOCÓ) y energía.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ACTIVIDADES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Estudios y diseños; gestión predial/ambiental; construcción y montaje; suministro de equipos y medidores; puesta en marcha.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Avance físico vs. cronograma; ejecución del CAPEX de COP 13.470 MM.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Informes de interventoría; cortes de obra; estados financieros.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Cierre financiero (aporte público + deuda + equity); logística y orden público manejables.</w:t>
            </w:r>
          </w:p>
        </w:tc>
      </w:tr>
    </w:tbl>
    <w:p/>
    <w:p>
      <w:pPr>
        <w:pStyle w:val="Heading2"/>
      </w:pPr>
      <w:r>
        <w:rPr>
          <w:color w:val="1F4E79"/>
          <w:sz w:val="24"/>
        </w:rPr>
        <w:t>5. Solución de Ingeniería Propuesta</w:t>
      </w:r>
    </w:p>
    <w:p>
      <w:pPr>
        <w:jc w:val="both"/>
      </w:pPr>
      <w:r>
        <w:rPr>
          <w:b/>
        </w:rPr>
        <w:t>1. Captación y pretratamiento.</w:t>
      </w:r>
      <w:r>
        <w:t xml:space="preserve"> El </w:t>
      </w:r>
      <w:r>
        <w:rPr>
          <w:b/>
        </w:rPr>
        <w:t>río San Juan</w:t>
      </w:r>
      <w:r>
        <w:t xml:space="preserve"> presenta alta turbiedad por las lluvias extremas y arrastra sedimentos y </w:t>
      </w:r>
      <w:r>
        <w:rPr>
          <w:b/>
        </w:rPr>
        <w:t>mercurio de la minería de oro</w:t>
      </w:r>
      <w:r>
        <w:t xml:space="preserve">. Se proyecta una </w:t>
      </w:r>
      <w:r>
        <w:rPr>
          <w:b/>
        </w:rPr>
        <w:t>bocatoma reforzada con desarenador y pretratamiento</w:t>
      </w:r>
      <w:r>
        <w:t>, con monitoreo de calidad del agua cruda (incluido mercurio).</w:t>
      </w:r>
    </w:p>
    <w:p>
      <w:pPr>
        <w:jc w:val="both"/>
      </w:pPr>
      <w:r>
        <w:rPr>
          <w:b/>
        </w:rPr>
        <w:t>2. Aducción y conducción.</w:t>
      </w:r>
      <w:r>
        <w:t xml:space="preserve"> Línea de aducción/conducción (≈ 4 km) en tubería </w:t>
      </w:r>
      <w:r>
        <w:rPr>
          <w:b/>
        </w:rPr>
        <w:t>PVC/HD</w:t>
      </w:r>
      <w:r>
        <w:t xml:space="preserve">, con diámetros calculados por </w:t>
      </w:r>
      <w:r>
        <w:rPr>
          <w:b/>
        </w:rPr>
        <w:t>Hazen-Williams</w:t>
      </w:r>
      <w:r>
        <w:t xml:space="preserve"> para garantizar presiones y minimizar pérdidas.</w:t>
      </w:r>
    </w:p>
    <w:p>
      <w:pPr>
        <w:jc w:val="both"/>
      </w:pPr>
      <w:r>
        <w:rPr>
          <w:b/>
        </w:rPr>
        <w:t>3. PTAP de 45 L/s.</w:t>
      </w:r>
      <w:r>
        <w:t xml:space="preserve"> Planta convencional </w:t>
      </w:r>
      <w:r>
        <w:rPr>
          <w:b/>
        </w:rPr>
        <w:t>compacta-modular</w:t>
      </w:r>
      <w:r>
        <w:t xml:space="preserve">: coagulación, floculación, sedimentación de alta tasa, </w:t>
      </w:r>
      <w:r>
        <w:rPr>
          <w:b/>
        </w:rPr>
        <w:t>filtración rápida</w:t>
      </w:r>
      <w:r>
        <w:t xml:space="preserve"> y </w:t>
      </w:r>
      <w:r>
        <w:rPr>
          <w:b/>
        </w:rPr>
        <w:t>desinfección por cloración</w:t>
      </w:r>
      <w:r>
        <w:t xml:space="preserve">, con dosificación automatizada y </w:t>
      </w:r>
      <w:r>
        <w:rPr>
          <w:b/>
        </w:rPr>
        <w:t>laboratorio de control de calidad</w:t>
      </w:r>
      <w:r>
        <w:t xml:space="preserve"> para asegurar </w:t>
      </w:r>
      <w:r>
        <w:rPr>
          <w:b/>
        </w:rPr>
        <w:t>IRCA &lt; 5 %</w:t>
      </w:r>
      <w:r>
        <w:t xml:space="preserve"> (Resolución 2115 de 2007). La capacidad de 45 L/s cubre el </w:t>
      </w:r>
      <w:r>
        <w:rPr>
          <w:b/>
        </w:rPr>
        <w:t>QMD de diseño de 40,8 L/s</w:t>
      </w:r>
      <w:r>
        <w:t xml:space="preserve"> con margen.</w:t>
      </w:r>
    </w:p>
    <w:p>
      <w:pPr>
        <w:jc w:val="both"/>
      </w:pPr>
      <w:r>
        <w:rPr>
          <w:b/>
        </w:rPr>
        <w:t>4. Almacenamiento, bombeo y distribución.</w:t>
      </w:r>
      <w:r>
        <w:t xml:space="preserve"> </w:t>
      </w:r>
      <w:r>
        <w:rPr>
          <w:b/>
        </w:rPr>
        <w:t>Tanque de 1.000 m³</w:t>
      </w:r>
      <w:r>
        <w:t xml:space="preserve">, </w:t>
      </w:r>
      <w:r>
        <w:rPr>
          <w:b/>
        </w:rPr>
        <w:t>estación de bombeo</w:t>
      </w:r>
      <w:r>
        <w:t xml:space="preserve"> con bombas de alta eficiencia y variadores, y </w:t>
      </w:r>
      <w:r>
        <w:rPr>
          <w:b/>
        </w:rPr>
        <w:t>sectorización</w:t>
      </w:r>
      <w:r>
        <w:t xml:space="preserve"> de la red en distritos hidráulicos para control de presiones y reducción de pérdidas.</w:t>
      </w:r>
    </w:p>
    <w:p>
      <w:pPr>
        <w:jc w:val="both"/>
      </w:pPr>
      <w:r>
        <w:rPr>
          <w:b/>
        </w:rPr>
        <w:t>5. Reducción de pérdidas y micromedición.</w:t>
      </w:r>
      <w:r>
        <w:t xml:space="preserve"> Instalación de </w:t>
      </w:r>
      <w:r>
        <w:rPr>
          <w:b/>
        </w:rPr>
        <w:t>~3.700 micromedidores</w:t>
      </w:r>
      <w:r>
        <w:t xml:space="preserve"> y macromedición por sector, con programa permanente de </w:t>
      </w:r>
      <w:r>
        <w:rPr>
          <w:b/>
        </w:rPr>
        <w:t>detección de fugas y control de fraude</w:t>
      </w:r>
      <w:r>
        <w:t xml:space="preserve"> para alcanzar </w:t>
      </w:r>
      <w:r>
        <w:rPr>
          <w:b/>
        </w:rPr>
        <w:t>IANC ≤ 25 %</w:t>
      </w:r>
      <w:r>
        <w:t xml:space="preserve"> (Res 0330/2017).</w:t>
      </w:r>
    </w:p>
    <w:p>
      <w:pPr>
        <w:pStyle w:val="Heading3"/>
      </w:pPr>
      <w:r>
        <w:rPr>
          <w:color w:val="1F4E79"/>
          <w:sz w:val="22"/>
        </w:rPr>
        <w:t>5.1 Cálculo del caudal de diseño (Resolución 0330 de 2017)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Parámetro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Valor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Base / fuente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Población urbana 2025 (cabecera)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11.917 hab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DANE CNPV 2018 + proyección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Tasa de crecimiento adoptada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0,8 % anual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Método geométrico (proyección urbana)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Horizonte de diseño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25 años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Res 0330/2017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Población de diseño (año 25)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14.544 hab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Proyección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Dotación neta (altitud 75 m &lt; 1.000 m)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140 L/hab·día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Res 0330/2017, Art. 43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Pérdidas máximas admisibles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25 %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Res 0330/2017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Dotación bruta = 140/(1−0,25)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186,7 L/hab·día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Cálculo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Coef. máximo diario (k₁)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1,30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Res 0330/2017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Coef. máximo horario (k₂)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1,60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Res 0330/2017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Caudal medio diario (Q_md)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31,4 L/s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Q_md = dotación bruta × pob / 86.400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Caudal máximo diario (QMD = Q_md·k₁)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40,8 L/s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Diseño de la PTAP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Caudal máximo horario (QMH = QMD·k₂)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65,4 L/s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Diseño de redes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Capacidad PTAP adoptada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45 L/s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Con holgura sobre QMD</w:t>
            </w:r>
          </w:p>
        </w:tc>
      </w:tr>
    </w:tbl>
    <w:p/>
    <w:p>
      <w:pPr>
        <w:pStyle w:val="Heading2"/>
      </w:pPr>
      <w:r>
        <w:rPr>
          <w:color w:val="1F4E79"/>
          <w:sz w:val="24"/>
        </w:rPr>
        <w:t>6. Análisis de Viabilidad Financiera y Económica</w:t>
      </w:r>
    </w:p>
    <w:p>
      <w:pPr>
        <w:pStyle w:val="Heading3"/>
      </w:pPr>
      <w:r>
        <w:rPr>
          <w:color w:val="1F4E79"/>
          <w:sz w:val="22"/>
        </w:rPr>
        <w:t>6.1 Estructura de Inversión y Costos (CAPEX / OPEX)</w:t>
      </w:r>
    </w:p>
    <w:p>
      <w:pPr>
        <w:jc w:val="both"/>
      </w:pPr>
      <w:r>
        <w:rPr>
          <w:b/>
        </w:rPr>
        <w:t>CAPEX — Presupuesto de obra por capítulos: COP 13.470 MM</w:t>
      </w:r>
      <w:r>
        <w:t xml:space="preserve"> (año 0). Los valores son </w:t>
      </w:r>
      <w:r>
        <w:rPr>
          <w:b/>
        </w:rPr>
        <w:t>precios de referencia de mercado</w:t>
      </w:r>
      <w:r>
        <w:t xml:space="preserve"> (con sobrecostos por la logística del Chocó) y deben validarse con un </w:t>
      </w:r>
      <w:r>
        <w:rPr>
          <w:b/>
        </w:rPr>
        <w:t>Análisis de Precios Unitarios (APU)</w:t>
      </w:r>
      <w:r>
        <w:t xml:space="preserve"> actualizado. *(Ver nota de la Sección 10.)*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Capítulo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COP MM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Preliminares y obras provisionales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2,6 %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Captación (bocatoma río San Juan) + desarenador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7,1 %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Aducción y conducción (PVC/HD ≈ 4 km)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1.900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14,1 %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PTAP compacta 45 L/s (civil + equipos + dosificación + laboratorio)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3.800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28,2 %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Tanque de almacenamiento (1.000 m³)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1.200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8,9 %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Estación de bombeo (bombas + variadores)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750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5,6 %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Redes de distribución y sectorización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2.700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20,0 %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Micromedición (~3.700 medidores) + macromedición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720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5,3 %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Estudios, diseños e interventoría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1.100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8,2 %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TOTAL CAPEX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13.470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100 %</w:t>
            </w:r>
          </w:p>
        </w:tc>
      </w:tr>
    </w:tbl>
    <w:p/>
    <w:p>
      <w:pPr>
        <w:jc w:val="both"/>
      </w:pPr>
      <w:r>
        <w:rPr>
          <w:b/>
        </w:rPr>
        <w:t>OPEX (año 1): COP 1.050 MM</w:t>
      </w:r>
      <w:r>
        <w:t>, con crecimiento del 4 % anual (energía de bombeo, productos químicos, personal, mantenimiento y costos administrativos/comerciales).</w:t>
      </w:r>
    </w:p>
    <w:p>
      <w:pPr>
        <w:jc w:val="both"/>
      </w:pPr>
      <w:r>
        <w:rPr>
          <w:b/>
        </w:rPr>
        <w:t>Ingresos (año 1): COP 1.142 MM.</w:t>
      </w:r>
      <w:r>
        <w:t xml:space="preserve"> Base: ~3.400 suscriptores con factura media de </w:t>
      </w:r>
      <w:r>
        <w:rPr>
          <w:b/>
        </w:rPr>
        <w:t>COP 28.000/mes</w:t>
      </w:r>
      <w:r>
        <w:t xml:space="preserve"> (estratos bajos, con subsidios de la Ley 142 de 1994). Crecen por aumento de suscriptores (1,2 %/año) y ajuste tarifario (3,5 %/año).</w:t>
      </w:r>
    </w:p>
    <w:p>
      <w:pPr>
        <w:pStyle w:val="Heading3"/>
      </w:pPr>
      <w:r>
        <w:rPr>
          <w:color w:val="1F4E79"/>
          <w:sz w:val="22"/>
        </w:rPr>
        <w:t>6.2 Estructura de Deuda + Equity (y aporte público)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Fuente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Monto (COP MM)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Participación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Costo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Aporte público no reembolsable (SGR / PDA / SGP / cooperación)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12.123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90 %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(no exige retorno)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Deuda (FINDETER / banca de desarrollo)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674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Kd = 11 %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Equity (operador especializado + municipio)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674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Ke = 14 %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13.470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100 %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</w:t>
            </w:r>
          </w:p>
        </w:tc>
      </w:tr>
    </w:tbl>
    <w:p/>
    <w:p>
      <w:pPr>
        <w:jc w:val="both"/>
      </w:pPr>
      <w:r>
        <w:t xml:space="preserve">La deuda se amortiza por </w:t>
      </w:r>
      <w:r>
        <w:rPr>
          <w:b/>
        </w:rPr>
        <w:t>sistema francés</w:t>
      </w:r>
      <w:r>
        <w:t xml:space="preserve"> a 12 años. Tasa de impuesto de renta del 35 %. El </w:t>
      </w:r>
      <w:r>
        <w:rPr>
          <w:b/>
        </w:rPr>
        <w:t>90 % de aporte público</w:t>
      </w:r>
      <w:r>
        <w:t xml:space="preserve"> es realista: el acueducto real de Tadó fue intervenido con recursos del Estado y de la cooperación internacional.</w:t>
      </w:r>
    </w:p>
    <w:p>
      <w:pPr>
        <w:pStyle w:val="Heading3"/>
      </w:pPr>
      <w:r>
        <w:rPr>
          <w:color w:val="1F4E79"/>
          <w:sz w:val="22"/>
        </w:rPr>
        <w:t>6.3 Cálculo del WACC</w:t>
      </w:r>
    </w:p>
    <w:p>
      <w:pPr>
        <w:jc w:val="both"/>
      </w:pPr>
      <w:r>
        <w:t xml:space="preserve">El aporte público no exige retorno, por lo que el WACC se calcula sobre el </w:t>
      </w:r>
      <w:r>
        <w:rPr>
          <w:b/>
        </w:rPr>
        <w:t>capital remunerado</w:t>
      </w:r>
      <w:r>
        <w:t xml:space="preserve"> (deuda + equity, proporción 50/50):</w:t>
      </w:r>
    </w:p>
    <w:p>
      <w:pPr>
        <w:jc w:val="both"/>
      </w:pPr>
      <w:r>
        <w:t>WACC = (0{,}5 times 0{,}14) + (0{,}5 times 0{,}11 times (1-0{,}35)) = mathbf{10{,}58,%}</w:t>
      </w:r>
    </w:p>
    <w:p>
      <w:pPr>
        <w:jc w:val="both"/>
      </w:pPr>
      <w:r>
        <w:t xml:space="preserve">Coherente con el orden de magnitud de la tasa de descuento regulatoria que la </w:t>
      </w:r>
      <w:r>
        <w:rPr>
          <w:b/>
        </w:rPr>
        <w:t>CRA</w:t>
      </w:r>
      <w:r>
        <w:t xml:space="preserve"> define para el sector (Resolución CRA 943 de 2021).</w:t>
      </w:r>
    </w:p>
    <w:p>
      <w:pPr>
        <w:pStyle w:val="Heading3"/>
      </w:pPr>
      <w:r>
        <w:rPr>
          <w:color w:val="1F4E79"/>
          <w:sz w:val="22"/>
        </w:rPr>
        <w:t>6.4 Indicadores de Rentabilidad — VPN y TIR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Óptica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Tasa de descuento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VPN (COP MM)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TIR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Criterio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Proyecto "puro" (sobre CAPEX total)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WACC = 10,58 %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−10.523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−1,58 %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TIR &lt; WACC → no rentable solo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Inversionista (equity, con cofinanciación)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Ke = 14 %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+1.064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30,2 %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TIR &gt; Ke → viable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Socioeconómica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Tasa social = 9 % (DNP)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+5.123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13,7 %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B/C = 1,18 → socialmente viable</w:t>
            </w:r>
          </w:p>
        </w:tc>
      </w:tr>
    </w:tbl>
    <w:p/>
    <w:p>
      <w:pPr>
        <w:pStyle w:val="Heading3"/>
      </w:pPr>
      <w:r>
        <w:rPr>
          <w:color w:val="1F4E79"/>
          <w:sz w:val="22"/>
        </w:rPr>
        <w:t>6.5 Análisis de sensibilidad — % de aporte público vs viabilidad del inversionista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Aporte público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Equity (COP MM)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TIR inversionista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VPN inversionista (COP MM)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70 %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2.021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7,5 %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−1.236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80 %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1.347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13,4 %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−86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85 %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1.010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18,9 %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+489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90 % (caso base)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673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30,2 %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+1.064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95 %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337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66,0 %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+1.639</w:t>
            </w:r>
          </w:p>
        </w:tc>
      </w:tr>
    </w:tbl>
    <w:p/>
    <w:p>
      <w:pPr>
        <w:jc w:val="both"/>
      </w:pPr>
      <w:r>
        <w:t xml:space="preserve">El punto de equilibrio (TIR = Ke) está cerca del </w:t>
      </w:r>
      <w:r>
        <w:rPr>
          <w:b/>
        </w:rPr>
        <w:t>81 % de aporte público</w:t>
      </w:r>
      <w:r>
        <w:t>. Dada la pobreza de Tadó, un aporte ≥ 90 % es lo realista.</w:t>
      </w:r>
    </w:p>
    <w:p>
      <w:pPr>
        <w:pStyle w:val="Heading3"/>
      </w:pPr>
      <w:r>
        <w:rPr>
          <w:color w:val="1F4E79"/>
          <w:sz w:val="22"/>
        </w:rPr>
        <w:t>6.6 Flujos de Caja (Proyecto, Inversionistas y Banco)</w:t>
      </w:r>
    </w:p>
    <w:p>
      <w:pPr>
        <w:jc w:val="both"/>
      </w:pPr>
      <w:r>
        <w:t>Cifras en COP MM. *(FC = Flujo de Caja)*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Año</w:t>
            </w:r>
          </w:p>
        </w:tc>
        <w:tc>
          <w:tcPr>
            <w:tcW w:type="dxa" w:w="9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Ingresos</w:t>
            </w:r>
          </w:p>
        </w:tc>
        <w:tc>
          <w:tcPr>
            <w:tcW w:type="dxa" w:w="9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OPEX</w:t>
            </w:r>
          </w:p>
        </w:tc>
        <w:tc>
          <w:tcPr>
            <w:tcW w:type="dxa" w:w="9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EBITDA</w:t>
            </w:r>
          </w:p>
        </w:tc>
        <w:tc>
          <w:tcPr>
            <w:tcW w:type="dxa" w:w="9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Interés</w:t>
            </w:r>
          </w:p>
        </w:tc>
        <w:tc>
          <w:tcPr>
            <w:tcW w:type="dxa" w:w="9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Amort.</w:t>
            </w:r>
          </w:p>
        </w:tc>
        <w:tc>
          <w:tcPr>
            <w:tcW w:type="dxa" w:w="9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FC Proyecto</w:t>
            </w:r>
          </w:p>
        </w:tc>
        <w:tc>
          <w:tcPr>
            <w:tcW w:type="dxa" w:w="9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FC Inversionista</w:t>
            </w:r>
          </w:p>
        </w:tc>
        <w:tc>
          <w:tcPr>
            <w:tcW w:type="dxa" w:w="9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FC Banco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−13.470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−674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+674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1.142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1.050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92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74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249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171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1.197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1.092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105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71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257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178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1.253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1.136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118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265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185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1.313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1.181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132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274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193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1.375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1.228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147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284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201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1.440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1.277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163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294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209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1.508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1.329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180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306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219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1.580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1.382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198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317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228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1.655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1.437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218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330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239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1.733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1.494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239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76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344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250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1.816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1.554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261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84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358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262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1.902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1.616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285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93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374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274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−104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1.992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1.681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311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391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391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2.086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1.748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338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408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408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2.185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1.818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367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427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427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2.289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1.891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398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447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447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2.397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1.967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431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469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469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2.511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2.045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466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491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491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2.630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2.127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503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516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516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2.755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2.212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543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541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541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2.886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2.301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585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569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569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3.022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2.393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630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598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598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3.166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2.488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677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629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629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3.316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2.588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728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662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662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25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3.473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2.691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782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697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697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</w:t>
            </w:r>
          </w:p>
        </w:tc>
      </w:tr>
    </w:tbl>
    <w:p/>
    <w:p>
      <w:pPr>
        <w:jc w:val="both"/>
      </w:pPr>
      <w:r>
        <w:t xml:space="preserve">- </w:t>
      </w:r>
      <w:r>
        <w:rPr>
          <w:b/>
        </w:rPr>
        <w:t>FC del Proyecto:</w:t>
      </w:r>
      <w:r>
        <w:t xml:space="preserve"> mide la inversión total (CAPEX 13.470), descontado al WACC. - </w:t>
      </w:r>
      <w:r>
        <w:rPr>
          <w:b/>
        </w:rPr>
        <w:t>FC del Inversionista:</w:t>
      </w:r>
      <w:r>
        <w:t xml:space="preserve"> invierte solo el equity (674); el aporte público financia el 90 % del CAPEX. Descontado al Ke. - </w:t>
      </w:r>
      <w:r>
        <w:rPr>
          <w:b/>
        </w:rPr>
        <w:t>FC del Banco:</w:t>
      </w:r>
      <w:r>
        <w:t xml:space="preserve"> desembolsa 674 en el año 0 y recibe la cuota fija (≈ 104 MM/año) durante 12 años (TIR = Kd = 11 %).</w:t>
      </w:r>
    </w:p>
    <w:p>
      <w:pPr>
        <w:jc w:val="both"/>
      </w:pPr>
      <w:r>
        <w:t>Flujos e indicadores calculados con `modelo_financiero.py`; el modelo completo con fórmulas vivas está en `MODELO FINANCIERO PEPI.xlsx` (verificado: ambos coinciden).</w:t>
      </w:r>
    </w:p>
    <w:p>
      <w:pPr>
        <w:pStyle w:val="Heading2"/>
      </w:pPr>
      <w:r>
        <w:rPr>
          <w:color w:val="1F4E79"/>
          <w:sz w:val="24"/>
        </w:rPr>
        <w:t>7. Matriz de Riesgos (20 riesgos)</w:t>
      </w:r>
    </w:p>
    <w:p>
      <w:pPr>
        <w:jc w:val="both"/>
      </w:pPr>
      <w:r>
        <w:rPr>
          <w:b/>
        </w:rPr>
        <w:t>Escala:</w:t>
      </w:r>
      <w:r>
        <w:t xml:space="preserve"> Probabilidad (P) e Impacto (I) de 1 a 5. </w:t>
      </w:r>
      <w:r>
        <w:rPr>
          <w:b/>
        </w:rPr>
        <w:t>Nivel = P × I.</w:t>
      </w:r>
      <w:r>
        <w:t xml:space="preserve"> Clasificación: </w:t>
      </w:r>
      <w:r>
        <w:rPr>
          <w:b/>
        </w:rPr>
        <w:t>Bajo (1–6)</w:t>
      </w:r>
      <w:r>
        <w:t xml:space="preserve"> · </w:t>
      </w:r>
      <w:r>
        <w:rPr>
          <w:b/>
        </w:rPr>
        <w:t>Medio (8–12)</w:t>
      </w:r>
      <w:r>
        <w:t xml:space="preserve"> · </w:t>
      </w:r>
      <w:r>
        <w:rPr>
          <w:b/>
        </w:rPr>
        <w:t>Alto (15–25)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P×I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Nivel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Sobrecostos en la construcción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Financiero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Retrasos en el cronograma de obra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Operativo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Demoras en la gestión predial y servidumbres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Legal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Insuficiencia o retraso del aporte público (SGR/PDA)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Financiero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Incremento de tasas de interés de la deuda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Financiero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Recaudo tarifario inferior al proyectado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Comercial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Cambios regulatorios en el marco tarifario (CRA)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Regulatorio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Alta turbiedad/contaminación (mercurio) del río San Juan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Inundaciones por lluvias extremas (Chocó)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Inadecuada disposición de lodos de la PTAP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Vertimiento de aguas de lavado de filtros sin tratar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Afectación de fauna/flora en zona de obras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Fallas o paradas de equipos de bombeo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Operativo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Interrupción del suministro eléctrico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Operativo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Accidentes laborales en obra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SST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Dificultad logística y de acceso (transporte de materiales)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Operativo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Orden público en la región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Social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Errores en estudios y diseños técnicos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Técnico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Incumplimiento del contratista (calidad/abandono)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Contractual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Inflación de costos operativos por encima de lo previsto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Financiero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</w:tbl>
    <w:p/>
    <w:p>
      <w:pPr>
        <w:jc w:val="both"/>
      </w:pPr>
      <w:r>
        <w:rPr>
          <w:b/>
        </w:rPr>
        <w:t>Resumen:</w:t>
      </w:r>
      <w:r>
        <w:t xml:space="preserve"> 5 riesgos Altos, 13 Medios y 2 Bajos. Los Altos se concentran en sobrecostos, dependencia del aporte público, recaudo y los factores ambientales propios del Chocó (turbiedad y mercurio del San Juan, inundaciones por lluvias extremas).</w:t>
      </w:r>
    </w:p>
    <w:p>
      <w:pPr>
        <w:pStyle w:val="Heading2"/>
      </w:pPr>
      <w:r>
        <w:rPr>
          <w:color w:val="1F4E79"/>
          <w:sz w:val="24"/>
        </w:rPr>
        <w:t>8. Intervención de 10 Riesgos (5 ambientales) y Recalificación</w:t>
      </w:r>
    </w:p>
    <w:p>
      <w:pPr>
        <w:jc w:val="both"/>
      </w:pPr>
      <w:r>
        <w:t xml:space="preserve">Se intervienen los 10 riesgos prioritarios; </w:t>
      </w:r>
      <w:r>
        <w:rPr>
          <w:b/>
        </w:rPr>
        <w:t>los riesgos 8, 9, 10, 11 y 12 son de tipo ambiental</w:t>
      </w:r>
      <w:r>
        <w:t xml:space="preserve"> (5 ambientales, según lo exigido).</w:t>
      </w:r>
    </w:p>
    <w:p>
      <w:pPr>
        <w:pStyle w:val="Heading3"/>
      </w:pPr>
      <w:r>
        <w:rPr>
          <w:color w:val="1F4E79"/>
          <w:sz w:val="22"/>
        </w:rPr>
        <w:t>8.1 Descripción de las intervenciones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Intervención propuesta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Sobrecostos de construcción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Financiero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Contrato a precio global fijo (EPC), contingencia del 10 % y control de cambios por interventoría.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Bajo recaudo tarifario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Comercial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Cultura de pago, esquema de subsidios/contribuciones (Ley 142), corte por mora y micromedición masiva.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Insuficiencia del aporte público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Financiero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Cierre financiero antes del inicio; convenios con SGR/PDA y cooperación internacional.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Turbiedad/mercurio del río San Juan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Bocatoma con desarenador, pretratamiento, y monitoreo permanente de mercurio y calidad del agua cruda.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Inundaciones por lluvias extremas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Obras elevadas, diseño hidrológico, sistemas de drenaje y plan de contingencia ante crecientes.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Disposición de lodos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Lechos de secado y deshidratación, con disposición final autorizada por CODECHOCÓ.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Vertimiento de aguas de lavado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Recirculación de aguas de lavado de filtros y tratamiento previo, con permiso de vertimientos.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Afectación de fauna/flora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Plan de Manejo Ambiental (PMA), compensación forestal y obras en franjas intervenidas.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Dificultad logística y de acceso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Operativo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Plan logístico, acopio anticipado de materiales y cronograma con holguras por temporada de lluvias.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Accidentes laborales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SST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Sistema de Gestión SST (Decreto 1072 de 2015), capacitación, EPP y permisos de trabajo de alto riesgo.</w:t>
            </w:r>
          </w:p>
        </w:tc>
      </w:tr>
    </w:tbl>
    <w:p/>
    <w:p>
      <w:pPr>
        <w:pStyle w:val="Heading3"/>
      </w:pPr>
      <w:r>
        <w:rPr>
          <w:color w:val="1F4E79"/>
          <w:sz w:val="22"/>
        </w:rPr>
        <w:t>8.2 Matriz de recalificación (riesgo residual)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P×I inicial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Nivel inicial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P×I residual</w:t>
            </w:r>
          </w:p>
        </w:tc>
        <w:tc>
          <w:tcPr>
            <w:tcW w:type="dxa" w:w="1234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Nivel residual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Sobrecostos de construcción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Financiero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 recaudo tarifario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Comercial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Insuficiencia del aporte público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Financiero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Turbiedad/mercurio río San Juan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Inundaciones lluvias extremas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Alto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Disposición de lodos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Vertimiento aguas de lavado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Afectación fauna/flora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Ambiental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Dificultad logística/acceso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Operativo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Accidentes laborales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SST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Medio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Bajo</w:t>
            </w:r>
          </w:p>
        </w:tc>
      </w:tr>
    </w:tbl>
    <w:p/>
    <w:p>
      <w:pPr>
        <w:jc w:val="both"/>
      </w:pPr>
      <w:r>
        <w:rPr>
          <w:b/>
        </w:rPr>
        <w:t>Efecto de las intervenciones:</w:t>
      </w:r>
      <w:r>
        <w:t xml:space="preserve"> los riesgos Altos descienden a Medio o Bajo. El riesgo de turbiedad/mercurio del río San Juan (8) permanece en nivel </w:t>
      </w:r>
      <w:r>
        <w:rPr>
          <w:b/>
        </w:rPr>
        <w:t>Medio</w:t>
      </w:r>
      <w:r>
        <w:t xml:space="preserve"> por depender de la minería aguas arriba, por lo que exige </w:t>
      </w:r>
      <w:r>
        <w:rPr>
          <w:b/>
        </w:rPr>
        <w:t>monitoreo permanente</w:t>
      </w:r>
      <w:r>
        <w:t xml:space="preserve"> y articulación con la autoridad ambiental.</w:t>
      </w:r>
    </w:p>
    <w:p>
      <w:pPr>
        <w:pStyle w:val="Heading2"/>
      </w:pPr>
      <w:r>
        <w:rPr>
          <w:color w:val="1F4E79"/>
          <w:sz w:val="24"/>
        </w:rPr>
        <w:t>9. Conclusiones</w:t>
      </w:r>
    </w:p>
    <w:p>
      <w:pPr>
        <w:jc w:val="both"/>
      </w:pPr>
      <w:r>
        <w:t xml:space="preserve">1. El proyecto resuelve una necesidad básica insatisfecha de altísimo impacto en salud pública y desarrollo en Tadó, uno de los municipios más pobres del país. 2. </w:t>
      </w:r>
      <w:r>
        <w:rPr>
          <w:b/>
        </w:rPr>
        <w:t>No es financieramente rentable por sí solo</w:t>
      </w:r>
      <w:r>
        <w:t xml:space="preserve"> (VPN del proyecto puro −COP 10.523 MM), lo cual es </w:t>
      </w:r>
      <w:r>
        <w:rPr>
          <w:b/>
        </w:rPr>
        <w:t>normal y esperado</w:t>
      </w:r>
      <w:r>
        <w:t xml:space="preserve"> en acueductos municipales pequeños y de alta pobreza. 3. </w:t>
      </w:r>
      <w:r>
        <w:rPr>
          <w:b/>
        </w:rPr>
        <w:t>Es financieramente viable para el inversionista</w:t>
      </w:r>
      <w:r>
        <w:t xml:space="preserve"> cuando se cofinancia mayoritariamente con recursos públicos (con 90 % de aporte: TIR 30,2 % &gt; Ke 14 %); el punto de equilibrio está cerca del 81 % de aporte público. 4. </w:t>
      </w:r>
      <w:r>
        <w:rPr>
          <w:b/>
        </w:rPr>
        <w:t>Es socialmente muy rentable</w:t>
      </w:r>
      <w:r>
        <w:t xml:space="preserve"> (VPN económico +COP 5.123 MM, B/C 1,18 a la tasa social del DNP), lo que justifica plenamente la inversión pública vía SGR/PDA/SGP/cooperación. 5. La gestión de riesgos —en especial los ambientales propios del Chocó (turbiedad y mercurio del río San Juan, inundaciones por lluvias extremas)— es determinante y reduce el perfil de riesgo a niveles mayoritariamente bajos.</w:t>
      </w:r>
    </w:p>
    <w:p>
      <w:pPr>
        <w:pStyle w:val="Heading2"/>
      </w:pPr>
      <w:r>
        <w:rPr>
          <w:color w:val="1F4E79"/>
          <w:sz w:val="24"/>
        </w:rPr>
        <w:t>10. Fuentes y notas de transparencia</w:t>
      </w:r>
    </w:p>
    <w:p>
      <w:pPr>
        <w:jc w:val="both"/>
      </w:pPr>
      <w:r>
        <w:rPr>
          <w:b/>
        </w:rPr>
        <w:t>Datos reales (verificables):</w:t>
      </w:r>
      <w:r>
        <w:t xml:space="preserve"> - </w:t>
      </w:r>
      <w:r>
        <w:rPr>
          <w:b/>
        </w:rPr>
        <w:t>Población y geografía de Tadó:</w:t>
      </w:r>
      <w:r>
        <w:t xml:space="preserve"> DANE — Censo Nacional de Población y Vivienda (CNPV) 2018 y proyecciones de población; ficha municipal de Tadó (Chocó). Población total 2025: 20.476 hab; cabecera: 11.917 hab; altitud 75 m s. n. m.; río San Juan y río Mungarrá; clima de selva tropical húmeda (lluvias extremas); economía minera (oro y platino). - </w:t>
      </w:r>
      <w:r>
        <w:rPr>
          <w:b/>
        </w:rPr>
        <w:t>Antecedente del proyecto:</w:t>
      </w:r>
      <w:r>
        <w:t xml:space="preserve"> el acueducto de Tadó ha sido intervenido con recursos del Estado (MinVivienda) y de la cooperación internacional, con metas de continuidad 24 h y cobertura cercana al 98 %.</w:t>
      </w:r>
    </w:p>
    <w:p>
      <w:pPr>
        <w:jc w:val="both"/>
      </w:pPr>
      <w:r>
        <w:rPr>
          <w:b/>
        </w:rPr>
        <w:t>Normativa y metodología (citadas):</w:t>
      </w:r>
      <w:r>
        <w:t xml:space="preserve"> - </w:t>
      </w:r>
      <w:r>
        <w:rPr>
          <w:b/>
        </w:rPr>
        <w:t>Resolución 0330 de 2017 (RAS):</w:t>
      </w:r>
      <w:r>
        <w:t xml:space="preserve"> dotación neta (140 L/hab·día para altitud &lt; 1.000 m), pérdidas máximas (25 %), coeficientes k₁ y k₂, horizonte de diseño y caudales. - </w:t>
      </w:r>
      <w:r>
        <w:rPr>
          <w:b/>
        </w:rPr>
        <w:t>Resolución 2115 de 2007:</w:t>
      </w:r>
      <w:r>
        <w:t xml:space="preserve"> calidad del agua para consumo humano (IRCA). - </w:t>
      </w:r>
      <w:r>
        <w:rPr>
          <w:b/>
        </w:rPr>
        <w:t>Resolución CRA 943 de 2021:</w:t>
      </w:r>
      <w:r>
        <w:t xml:space="preserve"> marco tarifario y tasa de descuento regulatoria del sector acueducto/alcantarillado. - </w:t>
      </w:r>
      <w:r>
        <w:rPr>
          <w:b/>
        </w:rPr>
        <w:t>Ley 142 de 1994:</w:t>
      </w:r>
      <w:r>
        <w:t xml:space="preserve"> régimen de servicios públicos domiciliarios (subsidios y contribuciones). - </w:t>
      </w:r>
      <w:r>
        <w:rPr>
          <w:b/>
        </w:rPr>
        <w:t>Tasa social de descuento (9 %):</w:t>
      </w:r>
      <w:r>
        <w:t xml:space="preserve"> DNP, metodología de evaluación de proyectos de inversión pública (MGA). - </w:t>
      </w:r>
      <w:r>
        <w:rPr>
          <w:b/>
        </w:rPr>
        <w:t>Decreto 1072 de 2015</w:t>
      </w:r>
      <w:r>
        <w:t xml:space="preserve"> (SG-SST) y </w:t>
      </w:r>
      <w:r>
        <w:rPr>
          <w:b/>
        </w:rPr>
        <w:t>NSR-10</w:t>
      </w:r>
      <w:r>
        <w:t xml:space="preserve"> (diseño sismorresistente) para la matriz de intervención.</w:t>
      </w:r>
    </w:p>
    <w:p>
      <w:pPr>
        <w:jc w:val="both"/>
      </w:pPr>
      <w:r>
        <w:rPr>
          <w:b/>
        </w:rPr>
        <w:t>Estimaciones (a validar con fuentes oficiales del proyecto):</w:t>
      </w:r>
      <w:r>
        <w:t xml:space="preserve"> - ⚠️ El </w:t>
      </w:r>
      <w:r>
        <w:rPr>
          <w:b/>
        </w:rPr>
        <w:t>déficit específico del acueducto</w:t>
      </w:r>
      <w:r>
        <w:t xml:space="preserve"> (cobertura e IANC actuales), el </w:t>
      </w:r>
      <w:r>
        <w:rPr>
          <w:b/>
        </w:rPr>
        <w:t>CAPEX por capítulos</w:t>
      </w:r>
      <w:r>
        <w:t xml:space="preserve">, las </w:t>
      </w:r>
      <w:r>
        <w:rPr>
          <w:b/>
        </w:rPr>
        <w:t>tarifas</w:t>
      </w:r>
      <w:r>
        <w:t xml:space="preserve"> y el </w:t>
      </w:r>
      <w:r>
        <w:rPr>
          <w:b/>
        </w:rPr>
        <w:t>OPEX</w:t>
      </w:r>
      <w:r>
        <w:t xml:space="preserve"> son </w:t>
      </w:r>
      <w:r>
        <w:rPr>
          <w:b/>
        </w:rPr>
        <w:t>estimaciones de orden de magnitud</w:t>
      </w:r>
      <w:r>
        <w:t xml:space="preserve"> con precios de referencia de mercado (con sobrecosto por la logística del Chocó). Para un estudio definitivo deben reemplazarse por: el </w:t>
      </w:r>
      <w:r>
        <w:rPr>
          <w:b/>
        </w:rPr>
        <w:t>Plan de Desarrollo Municipal</w:t>
      </w:r>
      <w:r>
        <w:t xml:space="preserve"> de Tadó, datos del </w:t>
      </w:r>
      <w:r>
        <w:rPr>
          <w:b/>
        </w:rPr>
        <w:t>SUI – Superservicios</w:t>
      </w:r>
      <w:r>
        <w:t xml:space="preserve">, el </w:t>
      </w:r>
      <w:r>
        <w:rPr>
          <w:b/>
        </w:rPr>
        <w:t>Plan Departamental de Agua (PDA) del Chocó</w:t>
      </w:r>
      <w:r>
        <w:t xml:space="preserve"> y un </w:t>
      </w:r>
      <w:r>
        <w:rPr>
          <w:b/>
        </w:rPr>
        <w:t>APU (Análisis de Precios Unitarios)</w:t>
      </w:r>
      <w:r>
        <w:t xml:space="preserve"> actualizado con lista de precios regional. - La tasa de crecimiento poblacional (0,8 %) es una hipótesis de diseño; debe ajustarse al método que mejor se acomode a las series del DANE para Tadó.</w:t>
      </w:r>
    </w:p>
    <w:p>
      <w:pPr>
        <w:jc w:val="both"/>
      </w:pPr>
      <w:r>
        <w:t>*Anexos en esta carpeta: `modelo_financiero.py`, `MODELO FINANCIERO PEPI.xlsx`, `resultados_modelo.csv`, `arbol_problemas.png`, `arbol_objetivos.png`.*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