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INFORME DE PREPARACIÓN Y EVALUACIÓN</w:t>
        <w:br/>
        <w:t>DE PROYECTOS DE INGENIERÍA (PEPI)</w:t>
      </w:r>
    </w:p>
    <w:p>
      <w:pPr>
        <w:jc w:val="center"/>
      </w:pPr>
      <w:r>
        <w:rPr>
          <w:color w:val="595959"/>
          <w:sz w:val="26"/>
        </w:rPr>
        <w:t>Construcción de PTAP y ampliación del sistema de acueducto</w:t>
        <w:br/>
        <w:t>del municipio de El Progreso</w:t>
      </w:r>
    </w:p>
    <w:p/>
    <w:p>
      <w:pPr>
        <w:jc w:val="center"/>
      </w:pPr>
      <w:r>
        <w:rPr>
          <w:i/>
          <w:sz w:val="18"/>
        </w:rPr>
        <w:t>Cifras monetarias en millones de pesos colombianos (COP MM) salvo indicación contraria.</w:t>
      </w:r>
    </w:p>
    <w:p/>
    <w:p>
      <w:pPr>
        <w:pStyle w:val="Heading1"/>
      </w:pPr>
      <w:r>
        <w:rPr>
          <w:color w:val="1F4E79"/>
          <w:sz w:val="30"/>
        </w:rPr>
        <w:t>1. Resumen Ejecutivo</w:t>
      </w:r>
    </w:p>
    <w:p>
      <w:pPr>
        <w:jc w:val="both"/>
      </w:pPr>
      <w:r>
        <w:rPr>
          <w:i w:val="0"/>
          <w:sz w:val="22"/>
        </w:rPr>
        <w:t>El municipio de El Progreso (≈18.000 habitantes, con proyección a 25.000 en 20 años) presenta un déficit crónico en la prestación del servicio de acueducto: cobertura del 78 %, índice de agua no contabilizada (IANC) del 48 % y una planta de tratamiento obsoleta que opera por encima de su capacidad de diseño, lo que genera intermitencia en el suministro y riesgo sanitario.</w:t>
      </w:r>
    </w:p>
    <w:p>
      <w:pPr>
        <w:jc w:val="both"/>
      </w:pPr>
      <w:r>
        <w:rPr>
          <w:i w:val="0"/>
          <w:sz w:val="22"/>
        </w:rPr>
        <w:t>El proyecto consiste en la construcción de una nueva Planta de Tratamiento de Agua Potable (PTAP) de 120 L/s, la ampliación y rehabilitación de las redes de aducción, conducción y distribución, y la incorporación de estaciones de bombeo, tanques de almacenamiento y micromedición. El objetivo central es garantizar agua potable continua (24 h) y de calidad al 98 % de la población, reduciendo el IANC al 25 % y eliminando los racionamientos.</w:t>
      </w:r>
    </w:p>
    <w:p>
      <w:pPr>
        <w:jc w:val="both"/>
      </w:pPr>
      <w:r>
        <w:rPr>
          <w:i w:val="0"/>
          <w:sz w:val="22"/>
        </w:rPr>
        <w:t>La inversión total (CAPEX) asciende a COP 14.000 MM, financiada en un 60 % con deuda (banca de desarrollo / FINDETER) y 40 % con equity (operador especializado + municipio). Con un WACC de 11,07 %, el proyecto presenta un VPN de COP 8.376 MM y una TIR del 18,13 % a nivel de proyecto; desde la óptica del inversionista la TIR es 24,78 % con un VPN de COP 4.698 MM. Los indicadores confirman que el proyecto es financiera y económicamente viable, además de socialmente prioritario.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Horizonte de evaluación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20 años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CAPEX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COP 14.000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Estructura Deuda / Equity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60 % / 40 %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WACC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11,07 %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VPN del proyecto (@WACC)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COP 8.376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TIR del proyecto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18,13 %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VPN del inversionista (@Ke)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COP 4.698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TIR del inversionista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24,78 %</w:t>
            </w:r>
          </w:p>
        </w:tc>
      </w:tr>
    </w:tbl>
    <w:p/>
    <w:p>
      <w:pPr>
        <w:pStyle w:val="Heading1"/>
      </w:pPr>
      <w:r>
        <w:rPr>
          <w:color w:val="1F4E79"/>
          <w:sz w:val="30"/>
        </w:rPr>
        <w:t>2. Árbol de Problemas</w:t>
      </w:r>
    </w:p>
    <w:p>
      <w:pPr>
        <w:jc w:val="both"/>
      </w:pPr>
      <w:r>
        <w:rPr>
          <w:i w:val="0"/>
          <w:sz w:val="22"/>
        </w:rPr>
        <w:t>Problema central: Deficiente prestación del servicio de acueducto en el municipio de El Progreso.</w:t>
      </w:r>
    </w:p>
    <w:p>
      <w:pPr>
        <w:pStyle w:val="Heading2"/>
      </w:pPr>
      <w:r>
        <w:rPr>
          <w:color w:val="1F4E79"/>
          <w:sz w:val="24"/>
        </w:rPr>
        <w:t>Efecto final</w:t>
      </w:r>
    </w:p>
    <w:p>
      <w:pPr>
        <w:jc w:val="both"/>
      </w:pPr>
      <w:r>
        <w:rPr>
          <w:i w:val="0"/>
          <w:sz w:val="22"/>
        </w:rPr>
        <w:t>Bajo desarrollo social y económico del municipio.</w:t>
      </w:r>
    </w:p>
    <w:p>
      <w:pPr>
        <w:pStyle w:val="Heading2"/>
      </w:pPr>
      <w:r>
        <w:rPr>
          <w:color w:val="1F4E79"/>
          <w:sz w:val="24"/>
        </w:rPr>
        <w:t>Consecuencias (efectos)</w:t>
      </w:r>
    </w:p>
    <w:p>
      <w:pPr>
        <w:pStyle w:val="ListBullet"/>
      </w:pPr>
      <w:r>
        <w:t>Aumento de enfermedades de origen hídrico (EDA).</w:t>
      </w:r>
    </w:p>
    <w:p>
      <w:pPr>
        <w:pStyle w:val="ListBullet"/>
      </w:pPr>
      <w:r>
        <w:t>Sobrecostos por compra de agua en carrotanques.</w:t>
      </w:r>
    </w:p>
    <w:p>
      <w:pPr>
        <w:pStyle w:val="ListBullet"/>
      </w:pPr>
      <w:r>
        <w:t>Baja calidad de vida y deterioro económico local.</w:t>
      </w:r>
    </w:p>
    <w:p>
      <w:pPr>
        <w:pStyle w:val="ListBullet"/>
      </w:pPr>
      <w:r>
        <w:t>Pérdida de credibilidad institucional del prestador.</w:t>
      </w:r>
    </w:p>
    <w:p>
      <w:pPr>
        <w:pStyle w:val="Heading2"/>
      </w:pPr>
      <w:r>
        <w:rPr>
          <w:color w:val="1F4E79"/>
          <w:sz w:val="24"/>
        </w:rPr>
        <w:t>Problema central</w:t>
      </w:r>
    </w:p>
    <w:p>
      <w:pPr>
        <w:jc w:val="both"/>
      </w:pPr>
      <w:r>
        <w:rPr>
          <w:i w:val="0"/>
          <w:sz w:val="22"/>
        </w:rPr>
        <w:t>Deficiente prestación del servicio de acueducto en el municipio de El Progreso.</w:t>
      </w:r>
    </w:p>
    <w:p>
      <w:pPr>
        <w:pStyle w:val="Heading2"/>
      </w:pPr>
      <w:r>
        <w:rPr>
          <w:color w:val="1F4E79"/>
          <w:sz w:val="24"/>
        </w:rPr>
        <w:t>Causas</w:t>
      </w:r>
    </w:p>
    <w:p>
      <w:pPr>
        <w:pStyle w:val="ListBullet"/>
      </w:pPr>
      <w:r>
        <w:rPr>
          <w:b/>
        </w:rPr>
        <w:t>PTAP obsoleta y sobrecargada</w:t>
      </w:r>
    </w:p>
    <w:p>
      <w:pPr>
        <w:pStyle w:val="ListBullet2"/>
      </w:pPr>
      <w:r>
        <w:t>Causa raíz: Equipos al final de su vida útil.</w:t>
      </w:r>
    </w:p>
    <w:p>
      <w:pPr>
        <w:pStyle w:val="ListBullet"/>
      </w:pPr>
      <w:r>
        <w:rPr>
          <w:b/>
        </w:rPr>
        <w:t>Altas pérdidas técnicas y comerciales (IANC 48 %)</w:t>
      </w:r>
    </w:p>
    <w:p>
      <w:pPr>
        <w:pStyle w:val="ListBullet2"/>
      </w:pPr>
      <w:r>
        <w:t>Causa raíz: Conexiones fraudulentas y fugas no detectadas.</w:t>
      </w:r>
    </w:p>
    <w:p>
      <w:pPr>
        <w:pStyle w:val="ListBullet"/>
      </w:pPr>
      <w:r>
        <w:rPr>
          <w:b/>
        </w:rPr>
        <w:t>Redes antiguas y sin sectorización</w:t>
      </w:r>
    </w:p>
    <w:p>
      <w:pPr>
        <w:pStyle w:val="ListBullet2"/>
      </w:pPr>
      <w:r>
        <w:t>Causa raíz: Falta de inversión histórica en infraestructura.</w:t>
      </w:r>
    </w:p>
    <w:p>
      <w:pPr>
        <w:pStyle w:val="ListBullet"/>
      </w:pPr>
      <w:r>
        <w:rPr>
          <w:b/>
        </w:rPr>
        <w:t>Baja micromedición y cartera morosa</w:t>
      </w:r>
    </w:p>
    <w:p>
      <w:pPr>
        <w:pStyle w:val="ListBullet2"/>
      </w:pPr>
      <w:r>
        <w:t>Causa raíz: Débil gestión comercial del prestador.</w:t>
      </w:r>
    </w:p>
    <w:p>
      <w:pPr>
        <w:pStyle w:val="Heading1"/>
      </w:pPr>
      <w:r>
        <w:rPr>
          <w:color w:val="1F4E79"/>
          <w:sz w:val="30"/>
        </w:rPr>
        <w:t>3. Árbol de Objetivos</w:t>
      </w:r>
    </w:p>
    <w:p>
      <w:pPr>
        <w:jc w:val="both"/>
      </w:pPr>
      <w:r>
        <w:rPr>
          <w:i w:val="0"/>
          <w:sz w:val="22"/>
        </w:rPr>
        <w:t>Objetivo central: Mejorar la prestación del servicio de acueducto en el municipio de El Progreso.</w:t>
      </w:r>
    </w:p>
    <w:p>
      <w:pPr>
        <w:pStyle w:val="Heading2"/>
      </w:pPr>
      <w:r>
        <w:rPr>
          <w:color w:val="1F4E79"/>
          <w:sz w:val="24"/>
        </w:rPr>
        <w:t>Fin último</w:t>
      </w:r>
    </w:p>
    <w:p>
      <w:pPr>
        <w:jc w:val="both"/>
      </w:pPr>
      <w:r>
        <w:rPr>
          <w:i w:val="0"/>
          <w:sz w:val="22"/>
        </w:rPr>
        <w:t>Mayor desarrollo social y económico del municipio.</w:t>
      </w:r>
    </w:p>
    <w:p>
      <w:pPr>
        <w:pStyle w:val="Heading2"/>
      </w:pPr>
      <w:r>
        <w:rPr>
          <w:color w:val="1F4E79"/>
          <w:sz w:val="24"/>
        </w:rPr>
        <w:t>Fines</w:t>
      </w:r>
    </w:p>
    <w:p>
      <w:pPr>
        <w:pStyle w:val="ListBullet"/>
      </w:pPr>
      <w:r>
        <w:t>Reducción de enfermedades de origen hídrico.</w:t>
      </w:r>
    </w:p>
    <w:p>
      <w:pPr>
        <w:pStyle w:val="ListBullet"/>
      </w:pPr>
      <w:r>
        <w:t>Eliminación del gasto en carrotanques.</w:t>
      </w:r>
    </w:p>
    <w:p>
      <w:pPr>
        <w:pStyle w:val="ListBullet"/>
      </w:pPr>
      <w:r>
        <w:t>Mejora de la calidad de vida y reactivación económica.</w:t>
      </w:r>
    </w:p>
    <w:p>
      <w:pPr>
        <w:pStyle w:val="ListBullet"/>
      </w:pPr>
      <w:r>
        <w:t>Fortalecimiento institucional del prestador.</w:t>
      </w:r>
    </w:p>
    <w:p>
      <w:pPr>
        <w:pStyle w:val="Heading2"/>
      </w:pPr>
      <w:r>
        <w:rPr>
          <w:color w:val="1F4E79"/>
          <w:sz w:val="24"/>
        </w:rPr>
        <w:t>Objetivo central</w:t>
      </w:r>
    </w:p>
    <w:p>
      <w:pPr>
        <w:jc w:val="both"/>
      </w:pPr>
      <w:r>
        <w:rPr>
          <w:i w:val="0"/>
          <w:sz w:val="22"/>
        </w:rPr>
        <w:t>Mejorar la prestación del servicio de acueducto en el municipio de El Progreso.</w:t>
      </w:r>
    </w:p>
    <w:p>
      <w:pPr>
        <w:pStyle w:val="Heading2"/>
      </w:pPr>
      <w:r>
        <w:rPr>
          <w:color w:val="1F4E79"/>
          <w:sz w:val="24"/>
        </w:rPr>
        <w:t>Medios</w:t>
      </w:r>
    </w:p>
    <w:p>
      <w:pPr>
        <w:pStyle w:val="ListBullet"/>
      </w:pPr>
      <w:r>
        <w:rPr>
          <w:b/>
        </w:rPr>
        <w:t>Construir una nueva PTAP de 120 L/s</w:t>
      </w:r>
    </w:p>
    <w:p>
      <w:pPr>
        <w:pStyle w:val="ListBullet2"/>
      </w:pPr>
      <w:r>
        <w:t>Medio fundamental: Equipos modernos y eficientes.</w:t>
      </w:r>
    </w:p>
    <w:p>
      <w:pPr>
        <w:pStyle w:val="ListBullet"/>
      </w:pPr>
      <w:r>
        <w:rPr>
          <w:b/>
        </w:rPr>
        <w:t>Reducir el IANC del 48 % al 25 %</w:t>
      </w:r>
    </w:p>
    <w:p>
      <w:pPr>
        <w:pStyle w:val="ListBullet2"/>
      </w:pPr>
      <w:r>
        <w:t>Medio fundamental: Programa de detección de fugas y control de fraude.</w:t>
      </w:r>
    </w:p>
    <w:p>
      <w:pPr>
        <w:pStyle w:val="ListBullet"/>
      </w:pPr>
      <w:r>
        <w:rPr>
          <w:b/>
        </w:rPr>
        <w:t>Rehabilitar y sectorizar las redes</w:t>
      </w:r>
    </w:p>
    <w:p>
      <w:pPr>
        <w:pStyle w:val="ListBullet2"/>
      </w:pPr>
      <w:r>
        <w:t>Medio fundamental: Plan de inversiones plurianual financiado.</w:t>
      </w:r>
    </w:p>
    <w:p>
      <w:pPr>
        <w:pStyle w:val="ListBullet"/>
      </w:pPr>
      <w:r>
        <w:rPr>
          <w:b/>
        </w:rPr>
        <w:t>Instalar micromedición y mejorar el recaudo</w:t>
      </w:r>
    </w:p>
    <w:p>
      <w:pPr>
        <w:pStyle w:val="ListBullet2"/>
      </w:pPr>
      <w:r>
        <w:t>Medio fundamental: Gestión comercial fortalecida.</w:t>
      </w:r>
    </w:p>
    <w:p>
      <w:pPr>
        <w:pStyle w:val="Heading1"/>
      </w:pPr>
      <w:r>
        <w:rPr>
          <w:color w:val="1F4E79"/>
          <w:sz w:val="30"/>
        </w:rPr>
        <w:t>4. Matriz de Marco Lógico (MML)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Resumen narrativo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Indicadores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Medios de verificación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Supuestos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Contribuir al desarrollo social y económico mejorando la salud pública.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Reducción 40 % en EDA a 3 años; aumento del IDM.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Reportes Secretaría de Salud; DANE/SIVIGILA.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Estabilidad política y continuidad de la inversión social.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Garantizar servicio continuo (24 h), con calidad y cobertura 98 %.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Cobertura ≥ 98 %; continuidad 24 h; IRCA &lt; 5 %; IANC ≤ 25 %.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Informes SUI–SSPD; reportes IRCA; auditorías.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 población se conecta y paga la tarifa.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COMPONENTES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1) PTAP 120 L/s. 2) Redes ampliadas. 3) Micromedición. 4) Bombeo y tanques.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PTAP operando; km de red renovada; N° de medidores.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Actas de recibo; pruebas; inventario de activos.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Disponibilidad de predios, permisos y energía.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ACTIVIDADES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Estudios; gestión predial/ambiental; construcción; equipos; puesta en marcha.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Avance físico vs. cronograma; ejecución CAPEX 14.000 MM.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Informes de interventoría; cortes de obra.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Cierre financiero; clima y orden público normales.</w:t>
            </w:r>
          </w:p>
        </w:tc>
      </w:tr>
    </w:tbl>
    <w:p/>
    <w:p>
      <w:pPr>
        <w:pStyle w:val="Heading1"/>
      </w:pPr>
      <w:r>
        <w:rPr>
          <w:color w:val="1F4E79"/>
          <w:sz w:val="30"/>
        </w:rPr>
        <w:t>5. Solución de Ingeniería Propuesta</w:t>
      </w:r>
    </w:p>
    <w:p>
      <w:pPr>
        <w:jc w:val="both"/>
      </w:pPr>
      <w:r>
        <w:rPr>
          <w:i w:val="0"/>
          <w:sz w:val="22"/>
        </w:rPr>
        <w:t>1. Planta de Tratamiento de Agua Potable (PTAP) – 120 L/s. Planta convencional compacta-modular con coagulación, floculación, sedimentación de alta tasa, filtración rápida y desinfección por cloración, dimensionada para el caudal máximo diario a 20 años. Incluye dosificación automatizada y laboratorio de control de calidad para garantizar IRCA &lt; 5 % (Resolución 2115 de 2007).</w:t>
      </w:r>
    </w:p>
    <w:p>
      <w:pPr>
        <w:jc w:val="both"/>
      </w:pPr>
      <w:r>
        <w:rPr>
          <w:i w:val="0"/>
          <w:sz w:val="22"/>
        </w:rPr>
        <w:t>2. Aducción y conducción. Renovación de la línea de aducción desde la bocatoma y conducción a presión hasta los tanques, con tubería PVC/HD de diámetros calculados hidráulicamente (Hazen-Williams) para minimizar pérdidas y garantizar presiones de servicio.</w:t>
      </w:r>
    </w:p>
    <w:p>
      <w:pPr>
        <w:jc w:val="both"/>
      </w:pPr>
      <w:r>
        <w:rPr>
          <w:i w:val="0"/>
          <w:sz w:val="22"/>
        </w:rPr>
        <w:t>3. Almacenamiento, bombeo y distribución. Tanques con capacidad equivalente al 30 % del volumen diario, estaciones de bombeo con bombas de alta eficiencia y variadores de frecuencia, y sectorización de la red en distritos hidráulicos para control de presiones y pérdidas.</w:t>
      </w:r>
    </w:p>
    <w:p>
      <w:pPr>
        <w:jc w:val="both"/>
      </w:pPr>
      <w:r>
        <w:rPr>
          <w:i w:val="0"/>
          <w:sz w:val="22"/>
        </w:rPr>
        <w:t>4. Reducción de pérdidas y micromedición. Instalación masiva de micromedidores, macromedición por sector y un programa permanente de detección de fugas y control de conexiones fraudulentas, para bajar el IANC del 48 % al 25 %.</w:t>
      </w:r>
    </w:p>
    <w:p>
      <w:pPr>
        <w:pStyle w:val="Heading1"/>
      </w:pPr>
      <w:r>
        <w:rPr>
          <w:color w:val="1F4E79"/>
          <w:sz w:val="30"/>
        </w:rPr>
        <w:t>6. Análisis de Viabilidad Financiera y Económica</w:t>
      </w:r>
    </w:p>
    <w:p>
      <w:pPr>
        <w:pStyle w:val="Heading2"/>
      </w:pPr>
      <w:r>
        <w:rPr>
          <w:color w:val="1F4E79"/>
          <w:sz w:val="24"/>
        </w:rPr>
        <w:t>6.1 Estructura de Inversión y Costos (CAPEX / OPEX)</w:t>
      </w:r>
    </w:p>
    <w:p>
      <w:pPr>
        <w:jc w:val="both"/>
      </w:pPr>
      <w:r>
        <w:rPr>
          <w:i w:val="0"/>
          <w:sz w:val="22"/>
        </w:rPr>
        <w:t>CAPEX — Inversión inicial: COP 14.000 MM (año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 MM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PTAP (obra civil + equipos)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6.300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45,0 %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Ampliación red de aducción y conducción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20,0 %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Estaciones de bombeo y tanques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2.100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15,0 %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Redes de distribución y micromedición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1.900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13,6 %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Estudios, diseños e interventoría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6,4 %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Total CAPEX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14.000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100 %</w:t>
            </w:r>
          </w:p>
        </w:tc>
      </w:tr>
    </w:tbl>
    <w:p/>
    <w:p>
      <w:pPr>
        <w:jc w:val="both"/>
      </w:pPr>
      <w:r>
        <w:rPr>
          <w:i w:val="0"/>
          <w:sz w:val="22"/>
        </w:rPr>
        <w:t>OPEX — Costos de operación (año 1): COP 2.350 MM, con crecimiento del 4 % anual (energía de bombeo, químicos, personal, mantenimiento y costos administrativos/comerciales). Ingresos por tarifa de acueducto: COP 5.200 MM en el año 1, con crecimiento del 4,5 % anual.</w:t>
      </w:r>
    </w:p>
    <w:p>
      <w:pPr>
        <w:pStyle w:val="Heading2"/>
      </w:pPr>
      <w:r>
        <w:rPr>
          <w:color w:val="1F4E79"/>
          <w:sz w:val="24"/>
        </w:rPr>
        <w:t>6.2 Estructura de Deuda + Equity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Monto (COP MM)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Participación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Deuda (banca de desarrollo / FINDETER)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8.400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60 %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Kd = 12,5 %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Equity (operador + municipio)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5.600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40 %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Ke = 15,5 %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14.000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jc w:val="both"/>
      </w:pPr>
      <w:r>
        <w:rPr>
          <w:i w:val="0"/>
          <w:sz w:val="22"/>
        </w:rPr>
        <w:t>La deuda se amortiza por el sistema francés (cuota fija) a 10 años, con una cuota anual de COP 1.517,2 MM. La tasa de impuesto de renta aplicada es del 35 %.</w:t>
      </w:r>
    </w:p>
    <w:p>
      <w:pPr>
        <w:pStyle w:val="Heading2"/>
      </w:pPr>
      <w:r>
        <w:rPr>
          <w:color w:val="1F4E79"/>
          <w:sz w:val="24"/>
        </w:rPr>
        <w:t>6.3 Cálculo del WACC</w:t>
      </w:r>
    </w:p>
    <w:p>
      <w:pPr>
        <w:jc w:val="both"/>
      </w:pPr>
      <w:r>
        <w:rPr>
          <w:i w:val="0"/>
          <w:sz w:val="22"/>
        </w:rPr>
        <w:t>WACC = (E/V)·Ke + (D/V)·Kd·(1 − t)</w:t>
      </w:r>
    </w:p>
    <w:p>
      <w:pPr>
        <w:jc w:val="both"/>
      </w:pPr>
      <w:r>
        <w:rPr>
          <w:i w:val="0"/>
          <w:sz w:val="22"/>
        </w:rPr>
        <w:t>WACC = (0,40 × 0,155) + (0,60 × 0,125 × (1 − 0,35)) = 0,0620 + 0,04875 = 0,1108 ≈ 11,07 %</w:t>
      </w:r>
    </w:p>
    <w:p>
      <w:pPr>
        <w:pStyle w:val="Heading2"/>
      </w:pPr>
      <w:r>
        <w:rPr>
          <w:color w:val="1F4E79"/>
          <w:sz w:val="24"/>
        </w:rPr>
        <w:t>6.4 Indicadores de Rentabilidad — VPN y 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Óptica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Tasa de descuento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VPN (COP MM)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TIR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Proyecto (FCLP)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WACC = 11,07 %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8.376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18,13 %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TIR &gt; WACC → viable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Inversionista (FCLA)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Ke = 15,5 %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4.698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24,78 %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TIR &gt; Ke → viable</w:t>
            </w:r>
          </w:p>
        </w:tc>
      </w:tr>
    </w:tbl>
    <w:p/>
    <w:p>
      <w:pPr>
        <w:jc w:val="both"/>
      </w:pPr>
      <w:r>
        <w:rPr>
          <w:i w:val="0"/>
          <w:sz w:val="22"/>
        </w:rPr>
        <w:t>Ambos VPN son positivos y ambas TIR superan su respectiva tasa de descuento, por lo que el proyecto crea valor. El apalancamiento mejora la rentabilidad del inversionista (24,78 % vs. 18,13 %) por el escudo fiscal de los intereses y el menor costo relativo de la deuda.</w:t>
      </w:r>
    </w:p>
    <w:p>
      <w:pPr>
        <w:pStyle w:val="Heading2"/>
      </w:pPr>
      <w:r>
        <w:rPr>
          <w:color w:val="1F4E79"/>
          <w:sz w:val="24"/>
        </w:rPr>
        <w:t>6.5 Flujos de Caja (Proyecto, Inversionistas y Banco)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Ingresos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Interés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Amort.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FC Proyecto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FC Inv.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FC Banco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-14.000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-5.600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+8.400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5.200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2.350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2.850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1.050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467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2.098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5.434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2.444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2.990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526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2.188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1.018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5.679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2.542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3.137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591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2.284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1.091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5.934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2.643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3.291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852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665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2.384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1.165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6.201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2.749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3.452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769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748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2.489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1.241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6.480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2.859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3.621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842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2.599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1.318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6.772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2.973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3.798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570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2.714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1.396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7.076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3.092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3.984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1.066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2.835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1.475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7.395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3.216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4.179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1.199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2.961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1.555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7.728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3.345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4.383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169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1.349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3.094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1.636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-1.517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8.075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3.479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4.597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3.233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3.233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8.439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3.618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4.821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3.379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3.379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8.819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3.762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5.056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3.532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3.532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9.215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3.913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5.302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3.692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3.692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9.630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4.069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5.561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3.859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3.859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10.063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4.232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5.831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4.035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4.035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10.516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4.402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6.115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4.220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4.220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10.990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4.578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6.412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4.413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4.413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11.484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4.761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6.723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4.615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4.615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12.001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4.951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7.050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4.827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4.827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jc w:val="both"/>
      </w:pPr>
      <w:r>
        <w:rPr>
          <w:i/>
          <w:sz w:val="18"/>
        </w:rPr>
        <w:t>Flujo del Proyecto (FCLP): rentabilidad de la inversión total, descontado al WACC. Flujo del Inversionista (FCLA): lo que queda al accionista tras pagar intereses y amortizar deuda, descontado al Ke. Flujo del Banco: desembolsa COP 8.400 MM en el año 0 y recibe la cuota fija durante 10 años (TIR = Kd = 12,5 %).</w:t>
      </w:r>
    </w:p>
    <w:p>
      <w:pPr>
        <w:pStyle w:val="Heading1"/>
      </w:pPr>
      <w:r>
        <w:rPr>
          <w:color w:val="1F4E79"/>
          <w:sz w:val="30"/>
        </w:rPr>
        <w:t>7. Matriz de Riesgos (20 riesgos)</w:t>
      </w:r>
    </w:p>
    <w:p>
      <w:pPr>
        <w:jc w:val="both"/>
      </w:pPr>
      <w:r>
        <w:rPr>
          <w:i/>
          <w:sz w:val="18"/>
        </w:rPr>
        <w:t>Escala: Probabilidad (P) e Impacto (I) de 1 a 5. Nivel de riesgo = P × I. Clasificación: Bajo (1–6), Medio (8–12), Alto (15–25).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P×I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Sobrecostos en la construcción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Retrasos en el cronograma de obra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Demoras en gestión predial y servidumbres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Variación en la tasa de cambio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Incremento de tasas de interés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Recaudo tarifario inferior al proyectado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Comercial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Cambios regulatorios en el marco tarifario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Regulatorio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Contaminación de la fuente de captación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Reducción del caudal (sequía/cambio climático)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Inadecuada disposición de lodos de la PTAP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Vertimiento de aguas de lavado sin tratar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Afectación de fauna/flora en zona de obras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Fallas o paradas de equipos de bombeo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Interrupción del suministro eléctrico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Accidentes laborales en obra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Oposición o conflicto con la comunidad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Social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Vandalismo o robo de infraestructura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Errores en estudios y diseños técnicos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Incumplimiento del contratista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Contractual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Inflación de costos operativos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</w:tbl>
    <w:p/>
    <w:p>
      <w:pPr>
        <w:jc w:val="both"/>
      </w:pPr>
      <w:r>
        <w:rPr>
          <w:i w:val="0"/>
          <w:sz w:val="22"/>
        </w:rPr>
        <w:t>Resumen: 4 riesgos Altos, 14 Medios y 2 Bajos. Los Altos se concentran en sobrecostos, recaudo y los factores ambientales de la fuente.</w:t>
      </w:r>
    </w:p>
    <w:p>
      <w:pPr>
        <w:pStyle w:val="Heading1"/>
      </w:pPr>
      <w:r>
        <w:rPr>
          <w:color w:val="1F4E79"/>
          <w:sz w:val="30"/>
        </w:rPr>
        <w:t>8. Intervención de 10 Riesgos (5 ambientales) y Recalificación</w:t>
      </w:r>
    </w:p>
    <w:p>
      <w:pPr>
        <w:jc w:val="both"/>
      </w:pPr>
      <w:r>
        <w:rPr>
          <w:i w:val="0"/>
          <w:sz w:val="22"/>
        </w:rPr>
        <w:t>Se intervienen los 10 riesgos prioritarios; los riesgos 8, 9, 10, 11 y 12 son de tipo ambiental (5 ambientales, según lo exigido).</w:t>
      </w:r>
    </w:p>
    <w:p>
      <w:pPr>
        <w:pStyle w:val="Heading2"/>
      </w:pPr>
      <w:r>
        <w:rPr>
          <w:color w:val="1F4E79"/>
          <w:sz w:val="24"/>
        </w:rPr>
        <w:t>8.1 Descripción de las intervenciones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Intervención propuesta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Sobrecostos de construcción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Contrato a precio global fijo (EPC), contingencia del 10 % y control de cambios por interventoría.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Bajo recaudo tarifario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Comercial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Cultura de pago, financiación de cartera, corte por mora y micromedición masiva.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Alza de tasas de interés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Cobertura con tasa fija / SWAP en el cierre financiero.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Contaminación de la fuente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Protección y reforestación de ronda hídrica, monitoreo de calidad y barreras de captación.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Reducción de caudal (sequía)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Fuente alterna de respaldo, tanques de regulación, PUEAA y reuso.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Disposición de lodos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Lechos de secado y deshidratación, disposición final autorizada y aprovechamiento agrícola.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Vertimiento de aguas de lavado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Recirculación y tratamiento previo, con permiso ambiental (CAR).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Afectación de fauna/flora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Plan de Manejo Ambiental (PMA), compensación forestal y obras en franjas intervenidas.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Interrupción eléctrica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Grupo electrógeno de respaldo y energía con respaldo dual.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Accidentes laborales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SG-SST (Decreto 1072), capacitación, EPP y permisos de trabajo de alto riesgo.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8.2 Matriz de recalificación (riesgo residual)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P×I inicial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 inicial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P×I residual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 residual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Sobrecostos de construcción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Bajo recaudo tarifario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Comercial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Alza de tasas de interés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Contaminación de la fuente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Reducción de caudal (sequía)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Disposición de lodos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Vertimiento aguas de lavado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Afectación fauna/flora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Interrupción eléctrica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Accidentes laborales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</w:tbl>
    <w:p/>
    <w:p>
      <w:pPr>
        <w:jc w:val="both"/>
      </w:pPr>
      <w:r>
        <w:rPr>
          <w:i w:val="0"/>
          <w:sz w:val="22"/>
        </w:rPr>
        <w:t>Efecto de las intervenciones: los riesgos Altos descienden a Medio o Bajo, y la mayoría de los Medios pasan a Bajo. Los riesgos asociados a la fuente (8 y 9) permanecen en nivel Medio por depender de factores climáticos externos, por lo que requieren monitoreo y planes de contingencia permanentes.</w:t>
      </w:r>
    </w:p>
    <w:p>
      <w:pPr>
        <w:pStyle w:val="Heading1"/>
      </w:pPr>
      <w:r>
        <w:rPr>
          <w:color w:val="1F4E79"/>
          <w:sz w:val="30"/>
        </w:rPr>
        <w:t>9. Conclusiones</w:t>
      </w:r>
    </w:p>
    <w:p>
      <w:pPr>
        <w:pStyle w:val="ListNumber"/>
      </w:pPr>
      <w:r>
        <w:t>El proyecto resuelve una necesidad básica insatisfecha de alto impacto en salud pública y desarrollo local.</w:t>
      </w:r>
    </w:p>
    <w:p>
      <w:pPr>
        <w:pStyle w:val="ListNumber"/>
      </w:pPr>
      <w:r>
        <w:t>Es financieramente viable: VPN positivo y TIR superior al costo de capital a nivel de proyecto (18,13 % vs. WACC 11,07 %) y de inversionista (24,78 % vs. Ke 15,5 %).</w:t>
      </w:r>
    </w:p>
    <w:p>
      <w:pPr>
        <w:pStyle w:val="ListNumber"/>
      </w:pPr>
      <w:r>
        <w:t>El apalancamiento 60/40 es adecuado y mejora la rentabilidad del accionista sin comprometer el servicio de la deuda.</w:t>
      </w:r>
    </w:p>
    <w:p>
      <w:pPr>
        <w:pStyle w:val="ListNumber"/>
      </w:pPr>
      <w:r>
        <w:t>La gestión de riesgos —en especial los ambientales— es determinante; con las intervenciones el perfil de riesgo se reduce a niveles mayoritariamente bajos.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