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4"/>
        </w:rPr>
        <w:t>ANEXO APU ACADÉMICO REFERENCIAL Y PROCEDENCIA DEL PROYECTO PEPI</w:t>
      </w:r>
    </w:p>
    <w:p>
      <w:pPr>
        <w:jc w:val="center"/>
      </w:pPr>
      <w:r>
        <w:rPr>
          <w:b/>
          <w:sz w:val="22"/>
        </w:rPr>
        <w:t>Optimización y ampliación del sistema de acueducto de la cabecera urbana de Tadó (Chocó)</w:t>
      </w:r>
    </w:p>
    <w:p>
      <w:pPr>
        <w:jc w:val="both"/>
      </w:pPr>
      <w:r>
        <w:rPr>
          <w:b/>
          <w:color w:val="C00000"/>
        </w:rPr>
        <w:t>ADVERTENCIA: el APU que sigue es una reconstrucción académica referencial. No fue extraído de SECOP, diseños definitivos, pliegos, contrato de obra, cotizaciones ni APU oficial del proyecto real. Su finalidad es explicar y hacer auditable el presupuesto del trabajo universitario.</w:t>
      </w:r>
    </w:p>
    <w:p>
      <w:pPr>
        <w:pStyle w:val="Heading1"/>
      </w:pPr>
      <w:r>
        <w:t>1. ¿De dónde salió el proyecto?</w:t>
      </w:r>
    </w:p>
    <w:p>
      <w:pPr>
        <w:pStyle w:val="ListBullet"/>
        <w:spacing w:after="20"/>
      </w:pPr>
      <w:r>
        <w:t>El tema se construyó como un caso académico inspirado en una afirmación secundaria no verificada sobre la optimización/ampliación del acueducto de Tadó, Chocó, contenida en el informe previo del repositorio.</w:t>
      </w:r>
    </w:p>
    <w:p>
      <w:pPr>
        <w:pStyle w:val="ListBullet"/>
        <w:spacing w:after="20"/>
      </w:pPr>
      <w:r>
        <w:t>Ese informe atribuía el proyecto a MinVivienda y cooperación española, con inversión de COP 19.971 millones. Mencionaba una nota de Agencia Anadolu, pero no conservaba título, fecha, URL, contrato, presupuesto oficial ni expediente técnico; por ello la referencia no es recuperable ni verificable con los archivos entregados.</w:t>
      </w:r>
    </w:p>
    <w:p>
      <w:pPr>
        <w:pStyle w:val="ListBullet"/>
        <w:spacing w:after="20"/>
      </w:pPr>
      <w:r>
        <w:t>Por eso COP 19.971 MM se usa únicamente como valor ancla del caso académico. El reparto por capítulos y el APU no deben presentarse como presupuesto histórico u oficial del proyecto ejecutado.</w:t>
      </w:r>
    </w:p>
    <w:p>
      <w:pPr>
        <w:pStyle w:val="ListBullet"/>
        <w:spacing w:after="20"/>
      </w:pPr>
      <w:r>
        <w:t>La población se atribuyó al CNPV 2018 del DANE; los parámetros hidráulicos se adoptaron con referencia al RAS. Varias entradas importantes —población urbana, crecimiento, ingresos, OPEX y beneficios— eran supuestos sin soporte adjunto.</w:t>
      </w:r>
    </w:p>
    <w:p>
      <w:pPr>
        <w:pStyle w:val="Heading1"/>
      </w:pPr>
      <w:r>
        <w:t>2. Resumen del APU referencial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850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Cap.</w:t>
            </w:r>
          </w:p>
        </w:tc>
        <w:tc>
          <w:tcPr>
            <w:tcW w:type="dxa" w:w="9638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268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COP MM</w:t>
            </w:r>
          </w:p>
        </w:tc>
        <w:tc>
          <w:tcPr>
            <w:tcW w:type="dxa" w:w="2268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Participación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963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Captación (bocatoma) y línea de aducción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2.400,00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12.02 %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9638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PTAP 45 L/s (obra civil + equipos)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6.300,00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31.55 %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963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Almacenamiento (tanques) y estaciones de bombeo</w:t>
            </w:r>
          </w:p>
        </w:tc>
        <w:tc>
          <w:tcPr>
            <w:tcW w:type="dxa" w:w="226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2.800,00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14.02 %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9638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Redes de distribución, conexiones y micromedición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4.200,00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21.03 %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963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Optimización del alcantarillado (componente asociado)</w:t>
            </w:r>
          </w:p>
        </w:tc>
        <w:tc>
          <w:tcPr>
            <w:tcW w:type="dxa" w:w="226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2.471,00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12.37 %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9638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Estudios, diseños, interventoría y gestión ambiental/social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1.800,00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9.01 %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963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TOTAL</w:t>
            </w:r>
          </w:p>
        </w:tc>
        <w:tc>
          <w:tcPr>
            <w:tcW w:type="dxa" w:w="226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19.971,00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5"/>
              </w:rPr>
              <w:t>100,00 %</w:t>
            </w:r>
          </w:p>
        </w:tc>
      </w:tr>
    </w:tbl>
    <w:p>
      <w:pPr>
        <w:jc w:val="both"/>
      </w:pPr>
      <w:r>
        <w:rPr>
          <w:rFonts w:ascii="Arial" w:hAnsi="Arial"/>
          <w:sz w:val="16"/>
        </w:rPr>
        <w:t>Metodología: precio unitario = (materiales + mano de obra + equipo + transporte) × (1 + AIU). Se adoptó AIU uniforme del 25 %. Las mezclas de costo y cantidades son supuestos académicos calibrados para que los seis capítulos concilien exactamente con COP 19.971 MM.</w:t>
      </w:r>
    </w:p>
    <w:p>
      <w:pPr>
        <w:pStyle w:val="Heading1"/>
      </w:pPr>
      <w:r>
        <w:t>3. APU detallado por actividad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850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Código</w:t>
            </w:r>
          </w:p>
        </w:tc>
        <w:tc>
          <w:tcPr>
            <w:tcW w:type="dxa" w:w="4989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Actividad</w:t>
            </w:r>
          </w:p>
        </w:tc>
        <w:tc>
          <w:tcPr>
            <w:tcW w:type="dxa" w:w="680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Un.</w:t>
            </w:r>
          </w:p>
        </w:tc>
        <w:tc>
          <w:tcPr>
            <w:tcW w:type="dxa" w:w="1020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Cant.</w:t>
            </w:r>
          </w:p>
        </w:tc>
        <w:tc>
          <w:tcPr>
            <w:tcW w:type="dxa" w:w="1134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Mat./U</w:t>
            </w:r>
          </w:p>
        </w:tc>
        <w:tc>
          <w:tcPr>
            <w:tcW w:type="dxa" w:w="1134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MO/U</w:t>
            </w:r>
          </w:p>
        </w:tc>
        <w:tc>
          <w:tcPr>
            <w:tcW w:type="dxa" w:w="1134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Eq./U</w:t>
            </w:r>
          </w:p>
        </w:tc>
        <w:tc>
          <w:tcPr>
            <w:tcW w:type="dxa" w:w="1134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Transp./U</w:t>
            </w:r>
          </w:p>
        </w:tc>
        <w:tc>
          <w:tcPr>
            <w:tcW w:type="dxa" w:w="907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AIU</w:t>
            </w:r>
          </w:p>
        </w:tc>
        <w:tc>
          <w:tcPr>
            <w:tcW w:type="dxa" w:w="1247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PU</w:t>
            </w:r>
          </w:p>
        </w:tc>
        <w:tc>
          <w:tcPr>
            <w:tcW w:type="dxa" w:w="1247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Parcial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Replanteo, campamento y obras provisionales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64,800000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28,800000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14,400000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180,000000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180,00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Bocatoma: excavación, concreto y protección estructural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m³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300,000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1,080000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0,600000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0,480000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0,240000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900,00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1.03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Rejillas, compuertas y elementos metálicos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und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62,400000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14,400000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14,400000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4,800000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240,00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1.04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Desarenador y canal de entrada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70,000000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28,000000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350,000000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350,00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Tubería de aducción instalada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3.000,000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0,079200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0,028800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0,021600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0,014400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0,180000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540,00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1.06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Protección de orillas y control de erosión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500,000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0,086400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0,048000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0,038400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0,019200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0,240000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Pruebas, desinfección y puesta en servicio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8,400000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30,800000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11,200000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5,600000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2.01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Preparación del lote, excavaciones y drenajes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70,000000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28,000000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350,000000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350,00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Estructuras hidráulicas y edificios de proceso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504,000000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280,000000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224,000000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112,000000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1.400,000000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1.400,00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2.03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Trenes de coagulación, floculación y sedimentación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und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286,000000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22,000000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550,000000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1.100,00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Filtros rápidos, medios filtrantes y accesorios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und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110,500000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25,500000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25,500000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8,500000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212,500000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850,00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Preparación y dosificación de químicos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338,000000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26,000000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650,000000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650,00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2.06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Sistema de desinfección y seguridad química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156,000000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2.07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Instalaciones eléctricas, control y automatización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338,000000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26,000000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650,000000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650,00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Laboratorio e instrumentación de calidad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156,000000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2.09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Manejo de lodos y aguas de lavado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162,000000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90,000000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72,000000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36,000000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450,000000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450,00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Pruebas de proceso, capacitación y arranque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110,000000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40,000000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20,000000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3.01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Tanque de almacenamiento y regulación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m³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1.000,000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0,396000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0,220000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0,176000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0,088000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1,100000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1.100,00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Edificio y obras civiles de estación de bombeo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162,000000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90,000000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72,000000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36,000000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450,000000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450,00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3.03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Bombas, motores, tableros y accesorios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und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104,000000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24,000000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24,000000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200,000000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Respaldo eléctrico y transferencia automática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156,000000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3.05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Tuberías de impulsión, válvulas y control de golpe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110,000000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40,000000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20,000000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Pruebas hidráulicas y puesta en marcha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44,000000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4.01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Red PVC aproximada Ø110 mm instalada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12.000,000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0,052800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0,019200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0,014400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0,009600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0,120000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1.440,00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4.02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Red PVC aproximada Ø160 mm instalada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6.000,000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0,079200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0,028800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0,021600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0,014400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0,180000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1.080,00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4.03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Válvulas, hidrantes y accesorios de sectorización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und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60,000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2,600000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0,600000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0,600000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0,200000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4.04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Conexiones domiciliarias completas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und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2.500,000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0,140800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0,051200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0,038400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0,025600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0,320000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800,00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Micromedidores instalados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und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2.500,000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0,083200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0,019200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0,019200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0,006400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0,160000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4.06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Cámaras y puntos de macromedición por sector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und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6,480000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3,600000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2,880000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1,440000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18,000000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180,00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5.01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Rehabilitación de redes de alcantarillado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8.000,000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0,066000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0,024000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0,018000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0,012000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0,150000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1.200,00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5.02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Pozos de inspección y cámaras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und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80,000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1,440000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0,800000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0,640000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0,320000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320,00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5.03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Colectores, descargas y obras complementarias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180,000000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100,000000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80,000000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40,000000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500,000000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Estructuras especiales y cruces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90,000000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50,000000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40,000000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20,000000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5.05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Recuperación ambiental de zonas intervenidas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12,120000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44,440000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16,160000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8,080000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101,000000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101,00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5.06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Pruebas, limpieza y entrega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44,000000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16,000000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6.01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Estudios básicos y diseños de detalle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176,000000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64,000000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32,000000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400,000000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6.02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Interventoría integral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mes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3,120000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11,440000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4,160000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2,080000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26,000000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650,00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6.03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Gestión ambiental, permisos y seguimiento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24,000000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32,000000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16,000000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200,000000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6.04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Gestión social y comunicaciones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84,000000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150,000000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150,00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6.05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Gestión predial, servidumbres y legal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12,000000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44,000000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100,00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6.06</w:t>
            </w:r>
          </w:p>
        </w:tc>
        <w:tc>
          <w:tcPr>
            <w:tcW w:type="dxa" w:w="4989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Reserva técnica y ajustes de ingeniería</w:t>
            </w:r>
          </w:p>
        </w:tc>
        <w:tc>
          <w:tcPr>
            <w:tcW w:type="dxa" w:w="68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24,000000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88,000000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32,000000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16,000000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200,000000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200,00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6.07</w:t>
            </w:r>
          </w:p>
        </w:tc>
        <w:tc>
          <w:tcPr>
            <w:tcW w:type="dxa" w:w="4989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Capacitación institucional y cierre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1"/>
              </w:rPr>
              <w:t>GLB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1,000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56,000000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8,000000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8,000000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25,00 %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100,000000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spacing w:after="0" w:line="216" w:lineRule="auto"/>
            </w:pPr>
            <w:r>
              <w:rPr>
                <w:rFonts w:ascii="Arial" w:hAnsi="Arial"/>
                <w:sz w:val="10"/>
              </w:rPr>
              <w:t>100,00</w:t>
            </w:r>
          </w:p>
        </w:tc>
      </w:tr>
    </w:tbl>
    <w:p>
      <w:pPr>
        <w:pStyle w:val="Heading1"/>
      </w:pPr>
      <w:r>
        <w:t>4. Trazabilidad completa de datos y supuestos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1984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Elemento</w:t>
            </w:r>
          </w:p>
        </w:tc>
        <w:tc>
          <w:tcPr>
            <w:tcW w:type="dxa" w:w="3402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Dato utilizado</w:t>
            </w:r>
          </w:p>
        </w:tc>
        <w:tc>
          <w:tcPr>
            <w:tcW w:type="dxa" w:w="4535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Procedencia declarada</w:t>
            </w:r>
          </w:p>
        </w:tc>
        <w:tc>
          <w:tcPr>
            <w:tcW w:type="dxa" w:w="4535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Nivel de soporte / observación</w:t>
            </w:r>
          </w:p>
        </w:tc>
        <w:tc>
          <w:tcPr>
            <w:tcW w:type="dxa" w:w="1814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Adjunto verificable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Enunciado y entregables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Estructura, matrices y límite de 10 páginas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PROYECTO PEPI.pdf suministrado en el repositorio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Fuente primaria del encargo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Sí — archivo adjunto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Caso de estudio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Optimización/ampliación del acueducto de Tadó, Chocó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Informe previo suministrado; atribuía el caso a MinVivienda, cooperación española y una nota de Agencia Anadolu sin título, fecha ni URL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Caso académico inspirado en una referencia secundaria no verificada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Inversión ancla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COP 19.971 MM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Informe y modelo anteriores; atribuían el dato a la misma referencia secundaria no recuperable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es presupuesto contractual ni APU oficial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Población municipal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≈17.000 habitantes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Atribuida en el informe previo a DANE, CNPV 2018, consulta municipal de Tadó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Referencia identificada pero no adjunta; validar cifra exacta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— referencia no adjunta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Población urbana base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10.957 habitantes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Entrada heredada del modelo anterior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había soporte adjunto en el repositorio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Crecimiento poblacional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1,2 % anual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del modelo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Debe reemplazarse con proyección oficial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Horizonte de diseño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25 años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del modelo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había memoria de selección adjunta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Criterios hidráulicos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Dotación 140; pérdidas 25 %; k1=1,30; k2=1,60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Parámetros adoptados con referencia general a Resolución 0330 de 2017 — RAS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La norma no está adjunta; confirmar valores y aplicabilidad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— referencia no adjunta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Capacidad PTAP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45 L/s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Alcance heredado del informe/modelo anterior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hay diseño, balance horario ni ficha técnica adjunta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Calidad de agua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IRCA y criterios de potabilidad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Resolución 2115 de 2007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Referencia normativa identificada pero no adjunta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— referencia no adjunta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Marco tarifario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Estructura tarifaria del servicio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Resolución CRA 943 de 2021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Referencia normativa identificada pero no adjunta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— referencia no adjunta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Horizonte de evaluación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25 años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del modelo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había estudio de vida económica adjunto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Ingresos año 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COP 1.500 MM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agregado del modelo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Sin catastro, consumo ni tarifa adjuntos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OPEX año 1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COP 1.150 MM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agregado del modelo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Sin cotizaciones ni desglose operativo oficial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Crecimiento nominal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3,5 % anual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común del modelo para ingresos, OPEX y beneficios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hay estudio macroeconómico o contractual adjunto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Beneficio social año 1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COP 4.150 MM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agregado del modelo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Sin estudio de salud, tiempo ni disposición a pagar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Estructura financiera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80 % público / 10 % deuda / 10 % equity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del modelo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corresponde a cierre financiero ni convenio real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Costo aporte público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9 % nominal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del modelo, igualado a la tasa social adoptada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es costo contractual observado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Costos de capital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Kd 11 %, Ke 14 %, impuesto 35 %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Supuestos financieros del modelo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corresponden a ofertas vinculantes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Plazo de deuda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10 años, cuota fija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del modelo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existe term sheet ni contrato de crédito adjunto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Tasa social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9 %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Atribuida a metodología DNP en el caso académico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Referencia identificada pero no adjunta; confirmar vigencia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— referencia no adjunta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Vida útil/depreciación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25 años, lineal y sin valor residual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Supuesto contable del modelo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hay estudio de activos adjunto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APU y cantidades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Arial" w:hAnsi="Arial"/>
                <w:sz w:val="12"/>
              </w:rPr>
              <w:t>42 actividades; AIU 25 %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Elaboración académica nueva, calibrada para conciliar COP 19.971 MM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proviene de SECOP, diseños, APU oficiales ni cotizaciones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— referencial</w:t>
            </w:r>
          </w:p>
        </w:tc>
      </w:tr>
      <w:tr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Riesgos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20 riesgos y 10 intervenciones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Análisis académico del equipo a partir del alcance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es matriz contractual ni estudio ambiental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after="0" w:line="221" w:lineRule="auto"/>
            </w:pPr>
            <w:r>
              <w:rPr>
                <w:rFonts w:ascii="Arial" w:hAnsi="Arial"/>
                <w:sz w:val="12"/>
              </w:rPr>
              <w:t>No — referencial</w:t>
            </w:r>
          </w:p>
        </w:tc>
      </w:tr>
    </w:tbl>
    <w:p>
      <w:pPr>
        <w:pStyle w:val="Heading1"/>
      </w:pPr>
      <w:r>
        <w:t>5. Qué falta para convertirlo en un APU oficial</w:t>
      </w:r>
    </w:p>
    <w:p>
      <w:pPr>
        <w:pStyle w:val="ListBullet"/>
        <w:spacing w:after="20"/>
      </w:pPr>
      <w:r>
        <w:t>Estudios de población y demanda, topografía, geotecnia, hidrología, calidad de agua, catastro de redes y modelación hidráulica.</w:t>
      </w:r>
    </w:p>
    <w:p>
      <w:pPr>
        <w:pStyle w:val="ListBullet"/>
        <w:spacing w:after="20"/>
      </w:pPr>
      <w:r>
        <w:t>Planos y especificaciones definitivas, cantidades de obra medidas, rendimientos, cuadrillas, equipos, desperdicios y transporte real hasta Tadó.</w:t>
      </w:r>
    </w:p>
    <w:p>
      <w:pPr>
        <w:pStyle w:val="ListBullet"/>
        <w:spacing w:after="20"/>
      </w:pPr>
      <w:r>
        <w:t>Cotizaciones vigentes de materiales y equipos, salarios y prestaciones aplicables, impuestos, permisos, seguros, garantías, administración e imprevistos.</w:t>
      </w:r>
    </w:p>
    <w:p>
      <w:pPr>
        <w:pStyle w:val="ListBullet"/>
        <w:spacing w:after="20"/>
      </w:pPr>
      <w:r>
        <w:t>Presupuesto contractual o expediente SECOP que permita comparar cantidades, precios unitarios, AIU, adiciones y valor final ejecutado.</w:t>
      </w:r>
    </w:p>
    <w:p>
      <w:pPr>
        <w:pStyle w:val="ListBullet"/>
        <w:spacing w:after="20"/>
      </w:pPr>
      <w:r>
        <w:t>Memoria de ingresos por usuarios/consumo/tarifa, OPEX desagregado y estudio de monetización de beneficios sociales.</w:t>
      </w:r>
    </w:p>
    <w:p>
      <w:pPr>
        <w:pStyle w:val="ListBullet"/>
        <w:spacing w:after="20"/>
      </w:pPr>
      <w:r>
        <w:t>Revisión y firma de profesionales competentes. Este anexo no es utilizable para licitar, contratar, construir ni certificar costos.</w:t>
      </w:r>
    </w:p>
    <w:p>
      <w:pPr>
        <w:pStyle w:val="Heading1"/>
      </w:pPr>
      <w:r>
        <w:t>6. Documentos normativos y de consulta citados</w:t>
      </w:r>
    </w:p>
    <w:p>
      <w:pPr>
        <w:pStyle w:val="ListBullet"/>
        <w:spacing w:after="20"/>
      </w:pPr>
      <w:r>
        <w:t>DANE — Censo Nacional de Población y Vivienda 2018 (consulta municipal de Tadó).</w:t>
      </w:r>
    </w:p>
    <w:p>
      <w:pPr>
        <w:pStyle w:val="ListBullet"/>
        <w:spacing w:after="20"/>
      </w:pPr>
      <w:r>
        <w:t>Ministerio de Vivienda, Ciudad y Territorio — Resolución 0330 de 2017, Reglamento Técnico del Sector de Agua Potable y Saneamiento Básico (RAS).</w:t>
      </w:r>
    </w:p>
    <w:p>
      <w:pPr>
        <w:pStyle w:val="ListBullet"/>
        <w:spacing w:after="20"/>
      </w:pPr>
      <w:r>
        <w:t>Resolución 2115 de 2007 — características, instrumentos y frecuencias del control y vigilancia de la calidad del agua para consumo humano.</w:t>
      </w:r>
    </w:p>
    <w:p>
      <w:pPr>
        <w:pStyle w:val="ListBullet"/>
        <w:spacing w:after="20"/>
      </w:pPr>
      <w:r>
        <w:t>Comisión de Regulación de Agua Potable y Saneamiento Básico — Resolución CRA 943 de 2021.</w:t>
      </w:r>
    </w:p>
    <w:p>
      <w:pPr>
        <w:pStyle w:val="ListBullet"/>
        <w:spacing w:after="20"/>
      </w:pPr>
      <w:r>
        <w:t>Departamento Nacional de Planeación — metodologías de evaluación y tasa social adoptada del 9 % para el caso académico.</w:t>
      </w:r>
    </w:p>
    <w:p>
      <w:pPr>
        <w:pStyle w:val="ListBullet"/>
        <w:spacing w:after="20"/>
      </w:pPr>
      <w:r>
        <w:t>PROYECTO PEPI.pdf — enunciado original suministrado.</w:t>
      </w:r>
    </w:p>
    <w:p>
      <w:pPr>
        <w:pStyle w:val="ListBullet"/>
        <w:spacing w:after="20"/>
      </w:pPr>
      <w:r>
        <w:t>INFORME_PEPI y MODELO FINANCIERO PEPI — entregables reconstruidos y verificados.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624" w:bottom="624" w:left="62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Anexo independiente del informe de 10 páginas | Página </w:t>
    </w:r>
    <w:fldSimple w:instr="PAGE"/>
    <w: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4"/>
      </w:rPr>
      <w:t>ANEXO PEPI — APU Y TRAZABILIDAD DE FUENTES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APU y fuentes PEPI</dc:title>
  <dc:subject>Memoria de costos y trazabilidad</dc:subject>
  <dc:creator>Equipo PEPI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