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KWATSUR</w:t>
        <w:br/>
      </w:r>
      <w:r>
        <w:rPr>
          <w:b/>
          <w:sz w:val="30"/>
        </w:rPr>
        <w:t>Spécification technique : Zetaris, Nemotron et flux des données</w:t>
      </w:r>
    </w:p>
    <w:p>
      <w:pPr>
        <w:jc w:val="center"/>
      </w:pPr>
      <w:r>
        <w:rPr>
          <w:i/>
        </w:rPr>
        <w:t>Document de référence à transmettre à l’IA de développement</w:t>
      </w:r>
    </w:p>
    <w:p>
      <w:pPr>
        <w:pStyle w:val="Heading1"/>
      </w:pPr>
      <w:r>
        <w:t>1. Objectif</w:t>
      </w:r>
    </w:p>
    <w:p>
      <w:r>
        <w:t>Ce document explique comment intégrer les outils du hackathon dans Kwatsur, une application conversationnelle qui aide à trouver des logements à louer à partir d’une demande en langage naturel. Il précise le rôle de chaque composant, le trajet d’un message, les règles de fiabilité et les points à vérifier avant de coder les intégrations.</w:t>
      </w:r>
    </w:p>
    <w:p>
      <w:pPr>
        <w:pStyle w:val="Heading1"/>
      </w:pPr>
      <w:r>
        <w:t>2. Rôle de chaque outil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Outil</w:t>
            </w:r>
          </w:p>
        </w:tc>
        <w:tc>
          <w:tcPr>
            <w:tcW w:type="dxa" w:w="3312"/>
          </w:tcPr>
          <w:p>
            <w:r>
              <w:t>À quoi il sert</w:t>
            </w:r>
          </w:p>
        </w:tc>
        <w:tc>
          <w:tcPr>
            <w:tcW w:type="dxa" w:w="3312"/>
          </w:tcPr>
          <w:p>
            <w:r>
              <w:t>Rôle dans Kwatsur</w:t>
            </w:r>
          </w:p>
        </w:tc>
      </w:tr>
      <w:tr>
        <w:tc>
          <w:tcPr>
            <w:tcW w:type="dxa" w:w="3312"/>
          </w:tcPr>
          <w:p>
            <w:r>
              <w:t>Zetaris</w:t>
            </w:r>
          </w:p>
        </w:tc>
        <w:tc>
          <w:tcPr>
            <w:tcW w:type="dxa" w:w="3312"/>
          </w:tcPr>
          <w:p>
            <w:r>
              <w:t>Couche d’intégration et d’interrogation de sources de données connectées. Ce n’est pas un moteur de recherche universel sur Internet et il ne fournit pas automatiquement des annonces.</w:t>
            </w:r>
          </w:p>
        </w:tc>
        <w:tc>
          <w:tcPr>
            <w:tcW w:type="dxa" w:w="3312"/>
          </w:tcPr>
          <w:p>
            <w:r>
              <w:t>Accéder aux données immobilières présentes dans les sources réellement connectées et les interroger selon les critères.</w:t>
            </w:r>
          </w:p>
        </w:tc>
      </w:tr>
      <w:tr>
        <w:tc>
          <w:tcPr>
            <w:tcW w:type="dxa" w:w="3312"/>
          </w:tcPr>
          <w:p>
            <w:r>
              <w:t>NVIDIA Nemotron</w:t>
            </w:r>
          </w:p>
        </w:tc>
        <w:tc>
          <w:tcPr>
            <w:tcW w:type="dxa" w:w="3312"/>
          </w:tcPr>
          <w:p>
            <w:r>
              <w:t>Modèle d’IA qui comprend et génère du langage.</w:t>
            </w:r>
          </w:p>
        </w:tc>
        <w:tc>
          <w:tcPr>
            <w:tcW w:type="dxa" w:w="3312"/>
          </w:tcPr>
          <w:p>
            <w:r>
              <w:t>Comprendre la demande, extraire les critères, repérer les informations manquantes, poser des questions et expliquer les résultats vérifiés.</w:t>
            </w:r>
          </w:p>
        </w:tc>
      </w:tr>
      <w:tr>
        <w:tc>
          <w:tcPr>
            <w:tcW w:type="dxa" w:w="3312"/>
          </w:tcPr>
          <w:p>
            <w:r>
              <w:t>Meterless</w:t>
            </w:r>
          </w:p>
        </w:tc>
        <w:tc>
          <w:tcPr>
            <w:tcW w:type="dxa" w:w="3312"/>
          </w:tcPr>
          <w:p>
            <w:r>
              <w:t>Environnement/outils prévus par le hackathon pour exécuter ou orchestrer un agent selon l’intégration disponible.</w:t>
            </w:r>
          </w:p>
        </w:tc>
        <w:tc>
          <w:tcPr>
            <w:tcW w:type="dxa" w:w="3312"/>
          </w:tcPr>
          <w:p>
            <w:r>
              <w:t>L’intégrer selon la documentation officielle et les exigences du hackathon. Ne pas supposer des fonctionnalités non vérifiées.</w:t>
            </w:r>
          </w:p>
        </w:tc>
      </w:tr>
      <w:tr>
        <w:tc>
          <w:tcPr>
            <w:tcW w:type="dxa" w:w="3312"/>
          </w:tcPr>
          <w:p>
            <w:r>
              <w:t>Cursor</w:t>
            </w:r>
          </w:p>
        </w:tc>
        <w:tc>
          <w:tcPr>
            <w:tcW w:type="dxa" w:w="3312"/>
          </w:tcPr>
          <w:p>
            <w:r>
              <w:t>Environnement de développement assisté par IA.</w:t>
            </w:r>
          </w:p>
        </w:tc>
        <w:tc>
          <w:tcPr>
            <w:tcW w:type="dxa" w:w="3312"/>
          </w:tcPr>
          <w:p>
            <w:r>
              <w:t>Aider à écrire, modifier et tester le code. Ce n’est pas un composant d’exécution nécessaire à l’application en production.</w:t>
            </w:r>
          </w:p>
        </w:tc>
      </w:tr>
      <w:tr>
        <w:tc>
          <w:tcPr>
            <w:tcW w:type="dxa" w:w="3312"/>
          </w:tcPr>
          <w:p>
            <w:r>
              <w:t>FastAPI</w:t>
            </w:r>
          </w:p>
        </w:tc>
        <w:tc>
          <w:tcPr>
            <w:tcW w:type="dxa" w:w="3312"/>
          </w:tcPr>
          <w:p>
            <w:r>
              <w:t>Framework Python qui expose une API HTTP.</w:t>
            </w:r>
          </w:p>
        </w:tc>
        <w:tc>
          <w:tcPr>
            <w:tcW w:type="dxa" w:w="3312"/>
          </w:tcPr>
          <w:p>
            <w:r>
              <w:t>Recevoir les messages du frontend, valider les requêtes et appeler les services métier.</w:t>
            </w:r>
          </w:p>
        </w:tc>
      </w:tr>
      <w:tr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Base de données relationnelle.</w:t>
            </w:r>
          </w:p>
        </w:tc>
        <w:tc>
          <w:tcPr>
            <w:tcW w:type="dxa" w:w="3312"/>
          </w:tcPr>
          <w:p>
            <w:r>
              <w:t>Stocker les annonces importées si nécessaire, les conversations, messages et métadonnées. PostgreSQL ne remplace pas Zetaris ni la source d’annonces.</w:t>
            </w:r>
          </w:p>
        </w:tc>
      </w:tr>
      <w:tr>
        <w:tc>
          <w:tcPr>
            <w:tcW w:type="dxa" w:w="3312"/>
          </w:tcPr>
          <w:p>
            <w:r>
              <w:t>HTML/CSS/JavaScript</w:t>
            </w:r>
          </w:p>
        </w:tc>
        <w:tc>
          <w:tcPr>
            <w:tcW w:type="dxa" w:w="3312"/>
          </w:tcPr>
          <w:p>
            <w:r>
              <w:t>Technologies de l’interface web.</w:t>
            </w:r>
          </w:p>
        </w:tc>
        <w:tc>
          <w:tcPr>
            <w:tcW w:type="dxa" w:w="3312"/>
          </w:tcPr>
          <w:p>
            <w:r>
              <w:t>Afficher le chat, envoyer les messages à l’API et montrer les logements sous forme de cartes.</w:t>
            </w:r>
          </w:p>
        </w:tc>
      </w:tr>
      <w:tr>
        <w:tc>
          <w:tcPr>
            <w:tcW w:type="dxa" w:w="3312"/>
          </w:tcPr>
          <w:p>
            <w:r>
              <w:t>Docker / Docker Compose</w:t>
            </w:r>
          </w:p>
        </w:tc>
        <w:tc>
          <w:tcPr>
            <w:tcW w:type="dxa" w:w="3312"/>
          </w:tcPr>
          <w:p>
            <w:r>
              <w:t>Outils de conteneurisation.</w:t>
            </w:r>
          </w:p>
        </w:tc>
        <w:tc>
          <w:tcPr>
            <w:tcW w:type="dxa" w:w="3312"/>
          </w:tcPr>
          <w:p>
            <w:r>
              <w:t>Faciliter un démarrage reproductible de l’application et de ses services.</w:t>
            </w:r>
          </w:p>
        </w:tc>
      </w:tr>
    </w:tbl>
    <w:p>
      <w:pPr>
        <w:pStyle w:val="Heading1"/>
      </w:pPr>
      <w:r>
        <w:t>3. Le point crucial : d’où viennent les annonces ?</w:t>
      </w:r>
    </w:p>
    <w:p>
      <w:r>
        <w:t>Zetaris ne crée pas les annonces et ne garantit pas qu’une source immobilière est disponible. Il faut identifier une source autorisée et exploitable : API immobilière, flux de données, base fournie ou autre source dont l’accès est permis.</w:t>
      </w:r>
    </w:p>
    <w:p>
      <w:pPr>
        <w:pStyle w:val="ListBullet"/>
      </w:pPr>
      <w:r>
        <w:t>Priorité à la source officielle fournie pour le hackathon, si elle contient des données adaptées.</w:t>
      </w:r>
    </w:p>
    <w:p>
      <w:pPr>
        <w:pStyle w:val="ListBullet"/>
      </w:pPr>
      <w:r>
        <w:t>Vérifier dans l’espace participant comment Zetaris doit être configuré et interrogé.</w:t>
      </w:r>
    </w:p>
    <w:p>
      <w:pPr>
        <w:pStyle w:val="ListBullet"/>
      </w:pPr>
      <w:r>
        <w:t>Si les annonces sont copiées dans PostgreSQL, documenter l’importation, la fréquence de mise à jour et la provenance de chaque annonce.</w:t>
      </w:r>
    </w:p>
    <w:p>
      <w:pPr>
        <w:pStyle w:val="ListBullet"/>
      </w:pPr>
      <w:r>
        <w:t>Sans source réelle pour la démonstration, utiliser des données clairement marquées comme fictives. Ne jamais les présenter comme des logements réellement disponibles.</w:t>
      </w:r>
    </w:p>
    <w:p>
      <w:pPr>
        <w:pStyle w:val="Heading1"/>
      </w:pPr>
      <w:r>
        <w:t>4. Flux d’un message utilisateur, étape par étape</w:t>
      </w:r>
    </w:p>
    <w:p>
      <w:pPr>
        <w:pStyle w:val="Heading2"/>
      </w:pPr>
      <w:r>
        <w:t>Étape 1 — Frontend</w:t>
      </w:r>
    </w:p>
    <w:p>
      <w:r>
        <w:t>L’utilisateur écrit : « Je cherche un studio à Yaoundé, près de Soa, pour 80 000 FCFA maximum. » JavaScript envoie le message à FastAPI par une requête HTTP.</w:t>
      </w:r>
    </w:p>
    <w:p>
      <w:pPr>
        <w:pStyle w:val="Heading2"/>
      </w:pPr>
      <w:r>
        <w:t>Étape 2 — FastAPI</w:t>
      </w:r>
    </w:p>
    <w:p>
      <w:r>
        <w:t>L’API valide le format, la taille du message et l’identifiant de conversation. Elle appelle un service métier ; la logique de recherche ne doit pas être écrite directement dans la route.</w:t>
      </w:r>
    </w:p>
    <w:p>
      <w:pPr>
        <w:pStyle w:val="Heading2"/>
      </w:pPr>
      <w:r>
        <w:t>Étape 3 — Compréhension par Nemotron</w:t>
      </w:r>
    </w:p>
    <w:p>
      <w:r>
        <w:t>L’agent demande à Nemotron de transformer la phrase en critères structurés : type = studio, ville = Yaoundé, zone = Soa, loyer maximum = 80 000 FCFA. Le backend valide le résultat selon un schéma strict.</w:t>
      </w:r>
    </w:p>
    <w:p>
      <w:pPr>
        <w:pStyle w:val="Heading2"/>
      </w:pPr>
      <w:r>
        <w:t>Étape 4 — Clarification</w:t>
      </w:r>
    </w:p>
    <w:p>
      <w:r>
        <w:t>Si une information importante manque ou est ambiguë, l’agent pose une question courte, par exemple : « Le budget inclut-il les charges ? » Le contexte utile est conservé pour le message suivant.</w:t>
      </w:r>
    </w:p>
    <w:p>
      <w:pPr>
        <w:pStyle w:val="Heading2"/>
      </w:pPr>
      <w:r>
        <w:t>Étape 5 — Recherche des données</w:t>
      </w:r>
    </w:p>
    <w:p>
      <w:r>
        <w:t>SearchService interroge la source configurée. Si Zetaris est connecté à la source immobilière, l’adaptateur Zetaris effectue la requête avec le mécanisme officiel. Si PostgreSQL est aussi utilisé, définir clairement quelles données s’y trouvent et quand le consulter.</w:t>
      </w:r>
    </w:p>
    <w:p>
      <w:pPr>
        <w:pStyle w:val="Heading2"/>
      </w:pPr>
      <w:r>
        <w:t>Étape 6 — Filtrage et classement</w:t>
      </w:r>
    </w:p>
    <w:p>
      <w:r>
        <w:t>Le backend applique les filtres vérifiables : budget, ville, type de logement et autres critères. Il classe les résultats selon des règles documentées. Les filtres numériques ne doivent pas dépendre uniquement du texte généré par l’IA.</w:t>
      </w:r>
    </w:p>
    <w:p>
      <w:pPr>
        <w:pStyle w:val="Heading2"/>
      </w:pPr>
      <w:r>
        <w:t>Étape 7 — Formulation de la réponse</w:t>
      </w:r>
    </w:p>
    <w:p>
      <w:r>
        <w:t>Nemotron peut rédiger une réponse naturelle à partir des résultats renvoyés. Il ne décrit que les informations présentes dans les résultats et signale les champs manquants. Il n’invente ni prix, ni adresse, ni téléphone, ni disponibilité.</w:t>
      </w:r>
    </w:p>
    <w:p>
      <w:pPr>
        <w:pStyle w:val="Heading2"/>
      </w:pPr>
      <w:r>
        <w:t>Étape 8 — Réponse au frontend</w:t>
      </w:r>
    </w:p>
    <w:p>
      <w:r>
        <w:t>FastAPI renvoie un JSON structuré : texte de réponse, liste de logements, critères appliqués et questions restantes. JavaScript affiche le texte et les cartes des logements.</w:t>
      </w:r>
    </w:p>
    <w:p>
      <w:pPr>
        <w:pStyle w:val="Heading2"/>
      </w:pPr>
      <w:r>
        <w:t>Étape 9 — Persistance et logs</w:t>
      </w:r>
    </w:p>
    <w:p>
      <w:r>
        <w:t>Enregistrer les messages et métadonnées nécessaires en respectant la confidentialité. Ne jamais écrire les clés API, mots de passe ou autres secrets dans les logs.</w:t>
      </w:r>
    </w:p>
    <w:p>
      <w:pPr>
        <w:pStyle w:val="Heading1"/>
      </w:pPr>
      <w:r>
        <w:t>5. Schéma simple du flux</w:t>
      </w:r>
    </w:p>
    <w:p>
      <w:pPr>
        <w:spacing w:after="20"/>
      </w:pPr>
      <w:r>
        <w:t>Utilisateur</w:t>
      </w:r>
    </w:p>
    <w:p>
      <w:pPr>
        <w:spacing w:after="20"/>
      </w:pPr>
      <w:r>
        <w:t>↓</w:t>
      </w:r>
    </w:p>
    <w:p>
      <w:pPr>
        <w:spacing w:after="20"/>
      </w:pPr>
      <w:r>
        <w:t>Frontend HTML / CSS / JavaScript</w:t>
      </w:r>
    </w:p>
    <w:p>
      <w:pPr>
        <w:spacing w:after="20"/>
      </w:pPr>
      <w:r>
        <w:t>↓ requête HTTP</w:t>
      </w:r>
    </w:p>
    <w:p>
      <w:pPr>
        <w:spacing w:after="20"/>
      </w:pPr>
      <w:r>
        <w:t>FastAPI — validation et routage</w:t>
      </w:r>
    </w:p>
    <w:p>
      <w:pPr>
        <w:spacing w:after="20"/>
      </w:pPr>
      <w:r>
        <w:t>↓</w:t>
      </w:r>
    </w:p>
    <w:p>
      <w:pPr>
        <w:spacing w:after="20"/>
      </w:pPr>
      <w:r>
        <w:t>AgentService / ConversationService</w:t>
      </w:r>
    </w:p>
    <w:p>
      <w:pPr>
        <w:spacing w:after="20"/>
      </w:pPr>
      <w:r>
        <w:t>↓</w:t>
      </w:r>
    </w:p>
    <w:p>
      <w:pPr>
        <w:spacing w:after="20"/>
      </w:pPr>
      <w:r>
        <w:t>Nemotron — compréhension et critères structurés</w:t>
      </w:r>
    </w:p>
    <w:p>
      <w:pPr>
        <w:spacing w:after="20"/>
      </w:pPr>
      <w:r>
        <w:t>↓</w:t>
      </w:r>
    </w:p>
    <w:p>
      <w:pPr>
        <w:spacing w:after="20"/>
      </w:pPr>
      <w:r>
        <w:t>SearchService</w:t>
      </w:r>
    </w:p>
    <w:p>
      <w:pPr>
        <w:spacing w:after="20"/>
      </w:pPr>
      <w:r>
        <w:t>↓</w:t>
      </w:r>
    </w:p>
    <w:p>
      <w:pPr>
        <w:spacing w:after="20"/>
      </w:pPr>
      <w:r>
        <w:t>Adaptateur Zetaris → source de données connectée</w:t>
      </w:r>
    </w:p>
    <w:p>
      <w:pPr>
        <w:spacing w:after="20"/>
      </w:pPr>
      <w:r>
        <w:t>et/ou</w:t>
      </w:r>
    </w:p>
    <w:p>
      <w:pPr>
        <w:spacing w:after="20"/>
      </w:pPr>
      <w:r>
        <w:t>Repository PostgreSQL → données locales définies par le projet</w:t>
      </w:r>
    </w:p>
    <w:p>
      <w:pPr>
        <w:spacing w:after="20"/>
      </w:pPr>
      <w:r>
        <w:t>↓</w:t>
      </w:r>
    </w:p>
    <w:p>
      <w:pPr>
        <w:spacing w:after="20"/>
      </w:pPr>
      <w:r>
        <w:t>Filtrage et classement déterministes dans le backend</w:t>
      </w:r>
    </w:p>
    <w:p>
      <w:pPr>
        <w:spacing w:after="20"/>
      </w:pPr>
      <w:r>
        <w:t>↓</w:t>
      </w:r>
    </w:p>
    <w:p>
      <w:pPr>
        <w:spacing w:after="20"/>
      </w:pPr>
      <w:r>
        <w:t>Nemotron — formulation basée sur les résultats vérifiés</w:t>
      </w:r>
    </w:p>
    <w:p>
      <w:pPr>
        <w:spacing w:after="20"/>
      </w:pPr>
      <w:r>
        <w:t>↓</w:t>
      </w:r>
    </w:p>
    <w:p>
      <w:pPr>
        <w:spacing w:after="20"/>
      </w:pPr>
      <w:r>
        <w:t>FastAPI → JSON → interface utilisateur</w:t>
      </w:r>
    </w:p>
    <w:p>
      <w:pPr>
        <w:pStyle w:val="Heading1"/>
      </w:pPr>
      <w:r>
        <w:t>6. Architecture logicielle recommandée</w:t>
      </w:r>
    </w:p>
    <w:p>
      <w:r>
        <w:t>Utiliser une architecture en couches inspirée de MVC, séparant routes, schémas, services métier, repositories et intégrations externes. Les routes FastAPI ne doivent pas gérer elles-mêmes les requêtes aux fournisseurs ou les règles métier.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Fichier / dossier</w:t>
            </w:r>
          </w:p>
        </w:tc>
        <w:tc>
          <w:tcPr>
            <w:tcW w:type="dxa" w:w="4968"/>
          </w:tcPr>
          <w:p>
            <w:r>
              <w:t>Responsabilité</w:t>
            </w:r>
          </w:p>
        </w:tc>
      </w:tr>
      <w:tr>
        <w:tc>
          <w:tcPr>
            <w:tcW w:type="dxa" w:w="4968"/>
          </w:tcPr>
          <w:p>
            <w:r>
              <w:t>app/api/routes/chat.py</w:t>
            </w:r>
          </w:p>
        </w:tc>
        <w:tc>
          <w:tcPr>
            <w:tcW w:type="dxa" w:w="4968"/>
          </w:tcPr>
          <w:p>
            <w:r>
              <w:t>Route du chat : valide la requête et appelle le service.</w:t>
            </w:r>
          </w:p>
        </w:tc>
      </w:tr>
      <w:tr>
        <w:tc>
          <w:tcPr>
            <w:tcW w:type="dxa" w:w="4968"/>
          </w:tcPr>
          <w:p>
            <w:r>
              <w:t>app/schemas/</w:t>
            </w:r>
          </w:p>
        </w:tc>
        <w:tc>
          <w:tcPr>
            <w:tcW w:type="dxa" w:w="4968"/>
          </w:tcPr>
          <w:p>
            <w:r>
              <w:t>Schémas Pydantic des requêtes et réponses.</w:t>
            </w:r>
          </w:p>
        </w:tc>
      </w:tr>
      <w:tr>
        <w:tc>
          <w:tcPr>
            <w:tcW w:type="dxa" w:w="4968"/>
          </w:tcPr>
          <w:p>
            <w:r>
              <w:t>app/services/agent_service.py</w:t>
            </w:r>
          </w:p>
        </w:tc>
        <w:tc>
          <w:tcPr>
            <w:tcW w:type="dxa" w:w="4968"/>
          </w:tcPr>
          <w:p>
            <w:r>
              <w:t>Coordonne compréhension, recherche, clarification et réponse.</w:t>
            </w:r>
          </w:p>
        </w:tc>
      </w:tr>
      <w:tr>
        <w:tc>
          <w:tcPr>
            <w:tcW w:type="dxa" w:w="4968"/>
          </w:tcPr>
          <w:p>
            <w:r>
              <w:t>app/services/search_service.py</w:t>
            </w:r>
          </w:p>
        </w:tc>
        <w:tc>
          <w:tcPr>
            <w:tcW w:type="dxa" w:w="4968"/>
          </w:tcPr>
          <w:p>
            <w:r>
              <w:t>Orchestre la recherche et le filtrage.</w:t>
            </w:r>
          </w:p>
        </w:tc>
      </w:tr>
      <w:tr>
        <w:tc>
          <w:tcPr>
            <w:tcW w:type="dxa" w:w="4968"/>
          </w:tcPr>
          <w:p>
            <w:r>
              <w:t>app/services/ranking_service.py</w:t>
            </w:r>
          </w:p>
        </w:tc>
        <w:tc>
          <w:tcPr>
            <w:tcW w:type="dxa" w:w="4968"/>
          </w:tcPr>
          <w:p>
            <w:r>
              <w:t>Classe les résultats selon des règles explicites et testables.</w:t>
            </w:r>
          </w:p>
        </w:tc>
      </w:tr>
      <w:tr>
        <w:tc>
          <w:tcPr>
            <w:tcW w:type="dxa" w:w="4968"/>
          </w:tcPr>
          <w:p>
            <w:r>
              <w:t>app/repositories/</w:t>
            </w:r>
          </w:p>
        </w:tc>
        <w:tc>
          <w:tcPr>
            <w:tcW w:type="dxa" w:w="4968"/>
          </w:tcPr>
          <w:p>
            <w:r>
              <w:t>Accès aux données locales, par exemple conversations et annonces stockées.</w:t>
            </w:r>
          </w:p>
        </w:tc>
      </w:tr>
      <w:tr>
        <w:tc>
          <w:tcPr>
            <w:tcW w:type="dxa" w:w="4968"/>
          </w:tcPr>
          <w:p>
            <w:r>
              <w:t>app/integrations/llm/base.py</w:t>
            </w:r>
          </w:p>
        </w:tc>
        <w:tc>
          <w:tcPr>
            <w:tcW w:type="dxa" w:w="4968"/>
          </w:tcPr>
          <w:p>
            <w:r>
              <w:t>Interface commune pour un fournisseur de modèle de langage.</w:t>
            </w:r>
          </w:p>
        </w:tc>
      </w:tr>
      <w:tr>
        <w:tc>
          <w:tcPr>
            <w:tcW w:type="dxa" w:w="4968"/>
          </w:tcPr>
          <w:p>
            <w:r>
              <w:t>app/integrations/llm/nemotron.py</w:t>
            </w:r>
          </w:p>
        </w:tc>
        <w:tc>
          <w:tcPr>
            <w:tcW w:type="dxa" w:w="4968"/>
          </w:tcPr>
          <w:p>
            <w:r>
              <w:t>Adaptateur Nemotron selon le mode d’accès officiel retenu.</w:t>
            </w:r>
          </w:p>
        </w:tc>
      </w:tr>
      <w:tr>
        <w:tc>
          <w:tcPr>
            <w:tcW w:type="dxa" w:w="4968"/>
          </w:tcPr>
          <w:p>
            <w:r>
              <w:t>app/integrations/data/zetaris.py</w:t>
            </w:r>
          </w:p>
        </w:tc>
        <w:tc>
          <w:tcPr>
            <w:tcW w:type="dxa" w:w="4968"/>
          </w:tcPr>
          <w:p>
            <w:r>
              <w:t>Adaptateur Zetaris : connexion, requêtes et conversion vers le format interne.</w:t>
            </w:r>
          </w:p>
        </w:tc>
      </w:tr>
      <w:tr>
        <w:tc>
          <w:tcPr>
            <w:tcW w:type="dxa" w:w="4968"/>
          </w:tcPr>
          <w:p>
            <w:r>
              <w:t>app/db/</w:t>
            </w:r>
          </w:p>
        </w:tc>
        <w:tc>
          <w:tcPr>
            <w:tcW w:type="dxa" w:w="4968"/>
          </w:tcPr>
          <w:p>
            <w:r>
              <w:t>Connexion et sessions PostgreSQL.</w:t>
            </w:r>
          </w:p>
        </w:tc>
      </w:tr>
      <w:tr>
        <w:tc>
          <w:tcPr>
            <w:tcW w:type="dxa" w:w="4968"/>
          </w:tcPr>
          <w:p>
            <w:r>
              <w:t>frontend/</w:t>
            </w:r>
          </w:p>
        </w:tc>
        <w:tc>
          <w:tcPr>
            <w:tcW w:type="dxa" w:w="4968"/>
          </w:tcPr>
          <w:p>
            <w:r>
              <w:t>Interface utilisateur et cartes de résultats.</w:t>
            </w:r>
          </w:p>
        </w:tc>
      </w:tr>
      <w:tr>
        <w:tc>
          <w:tcPr>
            <w:tcW w:type="dxa" w:w="4968"/>
          </w:tcPr>
          <w:p>
            <w:r>
              <w:t>tests/</w:t>
            </w:r>
          </w:p>
        </w:tc>
        <w:tc>
          <w:tcPr>
            <w:tcW w:type="dxa" w:w="4968"/>
          </w:tcPr>
          <w:p>
            <w:r>
              <w:t>Tests unitaires, d’intégration et du flux de conversation.</w:t>
            </w:r>
          </w:p>
        </w:tc>
      </w:tr>
    </w:tbl>
    <w:p>
      <w:pPr>
        <w:pStyle w:val="Heading1"/>
      </w:pPr>
      <w:r>
        <w:t>7. Exemple de critères structurés</w:t>
      </w:r>
    </w:p>
    <w:p>
      <w:r>
        <w:t>Après compréhension, Nemotron peut proposer un objet structuré que le backend doit valider :</w:t>
      </w:r>
    </w:p>
    <w:p>
      <w:r>
        <w:rPr>
          <w:rFonts w:ascii="Consolas" w:hAnsi="Consolas"/>
          <w:sz w:val="18"/>
        </w:rPr>
        <w:t>{</w:t>
        <w:br/>
        <w:t xml:space="preserve">  "property_type": "studio",</w:t>
        <w:br/>
        <w:t xml:space="preserve">  "city": "Yaoundé",</w:t>
        <w:br/>
        <w:t xml:space="preserve">  "area": "Soa",</w:t>
        <w:br/>
        <w:t xml:space="preserve">  "max_rent_xaf": 80000,</w:t>
        <w:br/>
        <w:t xml:space="preserve">  "bedrooms_min": null,</w:t>
        <w:br/>
        <w:t xml:space="preserve">  "furnished": null,</w:t>
        <w:br/>
        <w:t xml:space="preserve">  "utilities_included": null</w:t>
        <w:br/>
        <w:t>}</w:t>
      </w:r>
    </w:p>
    <w:p>
      <w:r>
        <w:t>Cet exemple illustre un format interne, pas une API officielle de Zetaris ou de Nemotron. Adapter les champs au modèle de données réel.</w:t>
      </w:r>
    </w:p>
    <w:p>
      <w:r>
        <w:t>Pour chaque annonce, conserver si possible :</w:t>
      </w:r>
    </w:p>
    <w:p>
      <w:pPr>
        <w:pStyle w:val="ListBullet"/>
      </w:pPr>
      <w:r>
        <w:t>Identifiant stable et source d’origine.</w:t>
      </w:r>
    </w:p>
    <w:p>
      <w:pPr>
        <w:pStyle w:val="ListBullet"/>
      </w:pPr>
      <w:r>
        <w:t>Titre/type, prix et devise.</w:t>
      </w:r>
    </w:p>
    <w:p>
      <w:pPr>
        <w:pStyle w:val="ListBullet"/>
      </w:pPr>
      <w:r>
        <w:t>Ville, quartier/zone et caractéristiques déclarées.</w:t>
      </w:r>
    </w:p>
    <w:p>
      <w:pPr>
        <w:pStyle w:val="ListBullet"/>
      </w:pPr>
      <w:r>
        <w:t>URL ou référence de l’annonce.</w:t>
      </w:r>
    </w:p>
    <w:p>
      <w:pPr>
        <w:pStyle w:val="ListBullet"/>
      </w:pPr>
      <w:r>
        <w:t>Date de collecte ou dernière vérification.</w:t>
      </w:r>
    </w:p>
    <w:p>
      <w:pPr>
        <w:pStyle w:val="ListBullet"/>
      </w:pPr>
      <w:r>
        <w:t>Statut de disponibilité seulement si la source permet réellement de le confirmer.</w:t>
      </w:r>
    </w:p>
    <w:p>
      <w:pPr>
        <w:pStyle w:val="Heading1"/>
      </w:pPr>
      <w:r>
        <w:t>8. Règles de fiabilité et de sécurité</w:t>
      </w:r>
    </w:p>
    <w:p>
      <w:pPr>
        <w:pStyle w:val="ListBullet"/>
      </w:pPr>
      <w:r>
        <w:t>Nemotron ne doit jamais inventer une annonce ou compléter des données absentes par des suppositions.</w:t>
      </w:r>
    </w:p>
    <w:p>
      <w:pPr>
        <w:pStyle w:val="ListBullet"/>
      </w:pPr>
      <w:r>
        <w:t>Une annonce trouvée n’équivaut pas à une disponibilité confirmée : elle peut être ancienne ou déjà louée.</w:t>
      </w:r>
    </w:p>
    <w:p>
      <w:pPr>
        <w:pStyle w:val="ListBullet"/>
      </w:pPr>
      <w:r>
        <w:t>Afficher la provenance et la date de mise à jour lorsqu’elles sont disponibles.</w:t>
      </w:r>
    </w:p>
    <w:p>
      <w:pPr>
        <w:pStyle w:val="ListBullet"/>
      </w:pPr>
      <w:r>
        <w:t>Valider et normaliser les critères du modèle avant toute requête.</w:t>
      </w:r>
    </w:p>
    <w:p>
      <w:pPr>
        <w:pStyle w:val="ListBullet"/>
      </w:pPr>
      <w:r>
        <w:t>Utiliser des requêtes paramétrées et des permissions minimales.</w:t>
      </w:r>
    </w:p>
    <w:p>
      <w:pPr>
        <w:pStyle w:val="ListBullet"/>
      </w:pPr>
      <w:r>
        <w:t>Mettre les secrets dans les variables d’environnement ou un gestionnaire de secrets ; fournir un .env.example sans vrais secrets.</w:t>
      </w:r>
    </w:p>
    <w:p>
      <w:pPr>
        <w:pStyle w:val="ListBullet"/>
      </w:pPr>
      <w:r>
        <w:t>Prévoir les erreurs et délais d’attente des fournisseurs. Si un outil est indisponible, expliquer l’échec plutôt que fabriquer un résultat.</w:t>
      </w:r>
    </w:p>
    <w:p>
      <w:pPr>
        <w:pStyle w:val="ListBullet"/>
      </w:pPr>
      <w:r>
        <w:t>Limiter les données personnelles conservées et définir une durée de conservation.</w:t>
      </w:r>
    </w:p>
    <w:p>
      <w:pPr>
        <w:pStyle w:val="ListBullet"/>
      </w:pPr>
      <w:r>
        <w:t>Tester l’absence de résultats, les critères contradictoires, les prix invalides, les réponses externes mal formées et les pannes.</w:t>
      </w:r>
    </w:p>
    <w:p>
      <w:pPr>
        <w:pStyle w:val="Heading1"/>
      </w:pPr>
      <w:r>
        <w:t>9. Instructions à transmettre à l’IA qui code</w:t>
      </w:r>
    </w:p>
    <w:p>
      <w:pPr>
        <w:pStyle w:val="ListNumber"/>
      </w:pPr>
      <w:r>
        <w:t>Lis le dépôt existant et ses README avant toute modification. Réutilise la structure déjà présente et ne remplace pas des fichiers sans nécessité.</w:t>
      </w:r>
    </w:p>
    <w:p>
      <w:pPr>
        <w:pStyle w:val="ListNumber"/>
      </w:pPr>
      <w:r>
        <w:t>Implémente une architecture en couches : routes API, schémas, services, repositories, adaptateurs et configuration.</w:t>
      </w:r>
    </w:p>
    <w:p>
      <w:pPr>
        <w:pStyle w:val="ListNumber"/>
      </w:pPr>
      <w:r>
        <w:t>Crée des interfaces remplaçables pour Nemotron et Zetaris afin que le reste du code ne dépende pas des détails d’un fournisseur.</w:t>
      </w:r>
    </w:p>
    <w:p>
      <w:pPr>
        <w:pStyle w:val="ListNumber"/>
      </w:pPr>
      <w:r>
        <w:t>Avant de coder une intégration, consulte les instructions officielles et les identifiants réellement fournis pour le hackathon. Ne devine jamais les URL, SDK, variables, formats ou mécanismes d’authentification.</w:t>
      </w:r>
    </w:p>
    <w:p>
      <w:pPr>
        <w:pStyle w:val="ListNumber"/>
      </w:pPr>
      <w:r>
        <w:t>Vérifie les exigences officielles d’utilisation de Zetaris, Cursor et Nemotron/Meterless ; ne prétends pas qu’une intégration fonctionne si elle n’a pas été testée.</w:t>
      </w:r>
    </w:p>
    <w:p>
      <w:pPr>
        <w:pStyle w:val="ListNumber"/>
      </w:pPr>
      <w:r>
        <w:t>Ne traite pas Zetaris comme un moteur de recherche Web ni comme une source automatique d’annonces. Identifie d’abord une source immobilière autorisée et documente sa connexion.</w:t>
      </w:r>
    </w:p>
    <w:p>
      <w:pPr>
        <w:pStyle w:val="ListNumber"/>
      </w:pPr>
      <w:r>
        <w:t>Si aucune source immobilière réelle n’est disponible, crée un fournisseur de démonstration avec des données clairement marquées « fictives ».</w:t>
      </w:r>
    </w:p>
    <w:p>
      <w:pPr>
        <w:pStyle w:val="ListNumber"/>
      </w:pPr>
      <w:r>
        <w:t>Utilise le modèle pour comprendre et formuler ; laisse le backend valider, filtrer et classer les données.</w:t>
      </w:r>
    </w:p>
    <w:p>
      <w:pPr>
        <w:pStyle w:val="ListNumber"/>
      </w:pPr>
      <w:r>
        <w:t>Ajoute des tests unitaires des critères, filtres, classements et erreurs, ainsi que des tests d’intégration avec mocks si les accès externes manquent.</w:t>
      </w:r>
    </w:p>
    <w:p>
      <w:pPr>
        <w:pStyle w:val="ListNumber"/>
      </w:pPr>
      <w:r>
        <w:t>Documente le démarrage, les variables d’environnement, Docker, les tests et les intégrations réellement opérationnelles.</w:t>
      </w:r>
    </w:p>
    <w:p>
      <w:pPr>
        <w:pStyle w:val="ListNumber"/>
      </w:pPr>
      <w:r>
        <w:t>Ne mets aucun secret dans le code et n’effectue pas de changements hors périmètre.</w:t>
      </w:r>
    </w:p>
    <w:p>
      <w:pPr>
        <w:pStyle w:val="Heading1"/>
      </w:pPr>
      <w:r>
        <w:t>10. Points à confirmer avant une vraie intégration</w:t>
      </w:r>
    </w:p>
    <w:p>
      <w:pPr>
        <w:pStyle w:val="ListBullet"/>
      </w:pPr>
      <w:r>
        <w:t>Quelle source de données immobilières est autorisée et accessible ?</w:t>
      </w:r>
    </w:p>
    <w:p>
      <w:pPr>
        <w:pStyle w:val="ListBullet"/>
      </w:pPr>
      <w:r>
        <w:t>Quel mode d’accès Zetaris est fourni dans le hackathon : API, SDK, connecteur ou interface de requête ?</w:t>
      </w:r>
    </w:p>
    <w:p>
      <w:pPr>
        <w:pStyle w:val="ListBullet"/>
      </w:pPr>
      <w:r>
        <w:t>Nemotron sera-t-il appelé directement ou via Meterless ?</w:t>
      </w:r>
    </w:p>
    <w:p>
      <w:pPr>
        <w:pStyle w:val="ListBullet"/>
      </w:pPr>
      <w:r>
        <w:t>Quelles sont les exigences précises du hackathon pour Zetaris, Cursor et Nemotron/Meterless ?</w:t>
      </w:r>
    </w:p>
    <w:p>
      <w:pPr>
        <w:pStyle w:val="ListBullet"/>
      </w:pPr>
      <w:r>
        <w:t>Les annonces seront-elles consultées en direct ou importées dans PostgreSQL ? Quelle source fait foi si les deux existent ?</w:t>
      </w:r>
    </w:p>
    <w:p>
      <w:pPr>
        <w:pStyle w:val="ListBullet"/>
      </w:pPr>
      <w:r>
        <w:t>Comment confirmer la disponibilité et la date de dernière vérification ?</w:t>
      </w:r>
    </w:p>
    <w:p>
      <w:pPr>
        <w:pStyle w:val="Heading1"/>
      </w:pPr>
      <w:r>
        <w:t>11. Résumé</w:t>
      </w:r>
    </w:p>
    <w:p>
      <w:r>
        <w:t>Nemotron comprend et formule le langage ; Zetaris permet d’interroger les sources de données connectées ; le backend Kwatsur valide, filtre et classe les résultats ; PostgreSQL conserve les données applicatives choisies ; le frontend affiche les résultats. Meterless doit être intégré selon la documentation et les exigences du hackathon. Le projet dépend avant tout d’une source de logements autorisée et suffisamment à jour.</w:t>
      </w:r>
    </w:p>
    <w:p>
      <w:pPr>
        <w:pStyle w:val="Heading1"/>
      </w:pPr>
      <w:r>
        <w:t>Références à vérifier</w:t>
      </w:r>
    </w:p>
    <w:p>
      <w:r>
        <w:t>Page officielle du hackathon : https://academy.genai.works/courses/open-agent-hackathon-2026/details</w:t>
      </w:r>
    </w:p>
    <w:p>
      <w:r>
        <w:t>Documentation NVIDIA Nemotron : https://docs.nvidia.com/nemotron/</w:t>
      </w:r>
    </w:p>
    <w:p>
      <w:r>
        <w:t>Ces liens sont des points de départ. Vérifier aussi la documentation Zetaris/Meterless et les instructions de l’espace participant avant d’écrire les intégrations.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Kwatsur — Spécification technique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