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jc w:val="center"/>
      </w:pPr>
      <w:r>
        <w:rPr>
          <w:rFonts w:ascii="Arial" w:cs="Arial" w:eastAsia="Arial" w:hAnsi="Arial"/>
          <w:i/>
          <w:iCs/>
          <w:color w:val="444444"/>
          <w:sz w:val="24"/>
          <w:szCs w:val="24"/>
        </w:rPr>
        <w:t xml:space="preserve">A Short Academic Project Proposal On</w:t>
      </w:r>
    </w:p>
    <w:p>
      <w:pPr>
        <w:spacing w:after="80" w:before="0"/>
      </w:pPr>
      <w:r>
        <w:t xml:space="preserve"/>
      </w:r>
    </w:p>
    <w:p>
      <w:pPr>
        <w:jc w:val="center"/>
      </w:pPr>
      <w:r>
        <w:rPr>
          <w:rFonts w:ascii="Arial" w:cs="Arial" w:eastAsia="Arial" w:hAnsi="Arial"/>
          <w:b/>
          <w:bCs/>
          <w:color w:val="2D6A4F"/>
          <w:sz w:val="40"/>
          <w:szCs w:val="40"/>
        </w:rPr>
        <w:t xml:space="preserve">IoT-Based Smart Agriculture Monitoring and</w:t>
      </w:r>
    </w:p>
    <w:p>
      <w:pPr>
        <w:jc w:val="center"/>
      </w:pPr>
      <w:r>
        <w:rPr>
          <w:rFonts w:ascii="Arial" w:cs="Arial" w:eastAsia="Arial" w:hAnsi="Arial"/>
          <w:b/>
          <w:bCs/>
          <w:color w:val="2D6A4F"/>
          <w:sz w:val="40"/>
          <w:szCs w:val="40"/>
        </w:rPr>
        <w:t xml:space="preserve">Decision Support System</w:t>
      </w:r>
    </w:p>
    <w:p>
      <w:pPr>
        <w:spacing w:after="400" w:before="0"/>
      </w:pPr>
      <w:r>
        <w:t xml:space="preserve"/>
      </w:r>
    </w:p>
    <w:p>
      <w:pPr>
        <w:jc w:val="center"/>
      </w:pPr>
      <w:r>
        <w:rPr>
          <w:rFonts w:ascii="Arial" w:cs="Arial" w:eastAsia="Arial" w:hAnsi="Arial"/>
          <w:b/>
          <w:bCs/>
          <w:color w:val="2C2C2C"/>
          <w:sz w:val="24"/>
          <w:szCs w:val="24"/>
        </w:rPr>
        <w:t xml:space="preserve">Submitted To:</w:t>
      </w:r>
    </w:p>
    <w:p>
      <w:pPr>
        <w:jc w:val="center"/>
      </w:pPr>
      <w:r>
        <w:rPr>
          <w:rFonts w:ascii="Arial" w:cs="Arial" w:eastAsia="Arial" w:hAnsi="Arial"/>
          <w:color w:val="444444"/>
          <w:sz w:val="24"/>
          <w:szCs w:val="24"/>
        </w:rPr>
        <w:t xml:space="preserve">Research, Innovation and Development Center (RIDC)</w:t>
      </w:r>
    </w:p>
    <w:p>
      <w:pPr>
        <w:jc w:val="center"/>
      </w:pPr>
      <w:r>
        <w:rPr>
          <w:rFonts w:ascii="Arial" w:cs="Arial" w:eastAsia="Arial" w:hAnsi="Arial"/>
          <w:color w:val="444444"/>
          <w:sz w:val="24"/>
          <w:szCs w:val="24"/>
        </w:rPr>
        <w:t xml:space="preserve">Far Western University (FWU)</w:t>
      </w:r>
    </w:p>
    <w:p>
      <w:pPr>
        <w:jc w:val="center"/>
      </w:pPr>
      <w:r>
        <w:rPr>
          <w:rFonts w:ascii="Arial" w:cs="Arial" w:eastAsia="Arial" w:hAnsi="Arial"/>
          <w:color w:val="444444"/>
          <w:sz w:val="24"/>
          <w:szCs w:val="24"/>
        </w:rPr>
        <w:t xml:space="preserve">Under the Guidelines of Renewable World (RW), 2082</w:t>
      </w:r>
    </w:p>
    <w:p>
      <w:pPr>
        <w:spacing w:after="300" w:before="0"/>
      </w:pPr>
      <w:r>
        <w:t xml:space="preserve"/>
      </w:r>
    </w:p>
    <w:p>
      <w:pPr>
        <w:jc w:val="center"/>
      </w:pPr>
      <w:r>
        <w:rPr>
          <w:rFonts w:ascii="Arial" w:cs="Arial" w:eastAsia="Arial" w:hAnsi="Arial"/>
          <w:b/>
          <w:bCs/>
          <w:color w:val="2C2C2C"/>
          <w:sz w:val="24"/>
          <w:szCs w:val="24"/>
        </w:rPr>
        <w:t xml:space="preserve">Submitted By:</w:t>
      </w:r>
    </w:p>
    <w:p>
      <w:pPr>
        <w:jc w:val="center"/>
      </w:pPr>
      <w:r>
        <w:rPr>
          <w:rFonts w:ascii="Arial" w:cs="Arial" w:eastAsia="Arial" w:hAnsi="Arial"/>
          <w:color w:val="444444"/>
          <w:sz w:val="24"/>
          <w:szCs w:val="24"/>
        </w:rPr>
        <w:t xml:space="preserve">Sapana Pandey</w:t>
      </w:r>
    </w:p>
    <w:p>
      <w:pPr>
        <w:jc w:val="center"/>
      </w:pPr>
      <w:r>
        <w:rPr>
          <w:rFonts w:ascii="Arial" w:cs="Arial" w:eastAsia="Arial" w:hAnsi="Arial"/>
          <w:color w:val="444444"/>
          <w:sz w:val="24"/>
          <w:szCs w:val="24"/>
        </w:rPr>
        <w:t xml:space="preserve">Mukesh Pant</w:t>
      </w:r>
    </w:p>
    <w:p>
      <w:pPr>
        <w:jc w:val="center"/>
      </w:pPr>
      <w:r>
        <w:rPr>
          <w:rFonts w:ascii="Arial" w:cs="Arial" w:eastAsia="Arial" w:hAnsi="Arial"/>
          <w:color w:val="444444"/>
          <w:sz w:val="24"/>
          <w:szCs w:val="24"/>
        </w:rPr>
        <w:t xml:space="preserve">Adarsh Joshi</w:t>
      </w:r>
    </w:p>
    <w:p>
      <w:pPr>
        <w:jc w:val="center"/>
      </w:pPr>
      <w:r>
        <w:rPr>
          <w:rFonts w:ascii="Arial" w:cs="Arial" w:eastAsia="Arial" w:hAnsi="Arial"/>
          <w:color w:val="444444"/>
          <w:sz w:val="24"/>
          <w:szCs w:val="24"/>
        </w:rPr>
        <w:t xml:space="preserve">Sagar Bista</w:t>
      </w:r>
    </w:p>
    <w:p>
      <w:pPr>
        <w:spacing w:after="100" w:before="0"/>
      </w:pPr>
      <w:r>
        <w:t xml:space="preserve"/>
      </w:r>
    </w:p>
    <w:p>
      <w:pPr>
        <w:jc w:val="center"/>
      </w:pPr>
      <w:r>
        <w:rPr>
          <w:rFonts w:ascii="Arial" w:cs="Arial" w:eastAsia="Arial" w:hAnsi="Arial"/>
          <w:color w:val="444444"/>
          <w:sz w:val="24"/>
          <w:szCs w:val="24"/>
        </w:rPr>
        <w:t xml:space="preserve">Bachelor of Computer Engineering</w:t>
      </w:r>
    </w:p>
    <w:p>
      <w:pPr>
        <w:jc w:val="center"/>
      </w:pPr>
      <w:r>
        <w:rPr>
          <w:rFonts w:ascii="Arial" w:cs="Arial" w:eastAsia="Arial" w:hAnsi="Arial"/>
          <w:color w:val="444444"/>
          <w:sz w:val="24"/>
          <w:szCs w:val="24"/>
        </w:rPr>
        <w:t xml:space="preserve">Far Western University, Central Campus</w:t>
      </w:r>
    </w:p>
    <w:p>
      <w:pPr>
        <w:spacing w:after="300" w:before="0"/>
      </w:pPr>
      <w:r>
        <w:t xml:space="preserve"/>
      </w:r>
    </w:p>
    <w:p>
      <w:pPr>
        <w:jc w:val="center"/>
      </w:pPr>
      <w:r>
        <w:rPr>
          <w:rFonts w:ascii="Arial" w:cs="Arial" w:eastAsia="Arial" w:hAnsi="Arial"/>
          <w:b/>
          <w:bCs/>
          <w:color w:val="2C2C2C"/>
          <w:sz w:val="24"/>
          <w:szCs w:val="24"/>
        </w:rPr>
        <w:t xml:space="preserve">February 12, 2026</w:t>
      </w:r>
    </w:p>
    <w:p>
      <w:r>
        <w:br w:type="page"/>
      </w:r>
    </w:p>
    <w:p>
      <w:pPr>
        <w:pStyle w:val="Heading1"/>
        <w:pBdr>
          <w:bottom w:val="single" w:color="2D6A4F" w:sz="6" w:space="4"/>
        </w:pBdr>
        <w:spacing w:after="180" w:before="360"/>
      </w:pPr>
      <w:r>
        <w:rPr>
          <w:rFonts w:ascii="Arial" w:cs="Arial" w:eastAsia="Arial" w:hAnsi="Arial"/>
          <w:b/>
          <w:bCs/>
          <w:color w:val="2D6A4F"/>
          <w:sz w:val="32"/>
          <w:szCs w:val="32"/>
        </w:rPr>
        <w:t xml:space="preserve">Acknowledgement</w:t>
      </w:r>
    </w:p>
    <w:p>
      <w:pPr>
        <w:spacing w:after="60" w:before="0"/>
      </w:pPr>
      <w:r>
        <w:t xml:space="preserve"/>
      </w:r>
    </w:p>
    <w:p>
      <w:pPr>
        <w:spacing w:after="80" w:before="80" w:line="360" w:lineRule="auto"/>
        <w:jc w:val="both"/>
      </w:pPr>
      <w:r>
        <w:rPr>
          <w:rFonts w:ascii="Arial" w:cs="Arial" w:eastAsia="Arial" w:hAnsi="Arial"/>
          <w:color w:val="444444"/>
          <w:sz w:val="22"/>
          <w:szCs w:val="22"/>
        </w:rPr>
        <w:t xml:space="preserve">We would like to express our sincere gratitude to Prof. Kishan Datta Bhatta, the Dean of School of Engineering, Far Western University &amp; Er. Toran Prasad Bhatta, Head of School, School of Engineering, for providing us with the platform to present our ideas and continuous encouragement throughout this proposal.</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We also extend our heartfelt thanks to Birodh Rijal Sir, whose initial orientation and abstract idea helped us visualize the foundation of this project. His suggestions gave us the direction we needed to move forward.</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Our sincere appreciation goes to Dr. Prakash Datta Sir, Rishi K. Marseni Sir, Shiv Raj Pant Sir, Er. Kamal Lekhak Sir, Er. Birendra Singh Dhami Sir, Er. Guru Prasad Lekhak Sir, and Er. Rohit Bisht Sir for their valuable insights, thoughtful comments, and continuous encouragement during the formulation of our idea and the understanding of different technical and practical aspects of the system. Their collective experience truly shaped our project into a more meaningful and refined form.</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We are also deeply grateful to the Research, Innovation and Development Center (RIDC), Far Western University for such an encouraging program, and to Daman Bahadur Chalaune Sir for providing us with the required knowledge regarding the program.</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Lastly, we would like to thank all our classmates for their cooperation, support, and motivation throughout this work. Their constant help and team spirit made this journey smoother and more enjoyable.</w:t>
      </w:r>
    </w:p>
    <w:p>
      <w:r>
        <w:br w:type="page"/>
      </w:r>
    </w:p>
    <w:p>
      <w:pPr>
        <w:pStyle w:val="Heading1"/>
        <w:pBdr>
          <w:bottom w:val="single" w:color="2D6A4F" w:sz="6" w:space="4"/>
        </w:pBdr>
        <w:spacing w:after="180" w:before="360"/>
      </w:pPr>
      <w:r>
        <w:rPr>
          <w:rFonts w:ascii="Arial" w:cs="Arial" w:eastAsia="Arial" w:hAnsi="Arial"/>
          <w:b/>
          <w:bCs/>
          <w:color w:val="2D6A4F"/>
          <w:sz w:val="32"/>
          <w:szCs w:val="32"/>
        </w:rPr>
        <w:t xml:space="preserve">Supervisor Endorsement</w:t>
      </w:r>
    </w:p>
    <w:p>
      <w:pPr>
        <w:spacing w:after="60" w:before="0"/>
      </w:pPr>
      <w:r>
        <w:t xml:space="preserve"/>
      </w:r>
    </w:p>
    <w:p>
      <w:pPr>
        <w:spacing w:after="80" w:before="80" w:line="360" w:lineRule="auto"/>
        <w:jc w:val="both"/>
      </w:pPr>
      <w:r>
        <w:rPr>
          <w:rFonts w:ascii="Arial" w:cs="Arial" w:eastAsia="Arial" w:hAnsi="Arial"/>
          <w:color w:val="444444"/>
          <w:sz w:val="22"/>
          <w:szCs w:val="22"/>
        </w:rPr>
        <w:t xml:space="preserve">We certify that the students, as final-year candidates of the Bachelor of Computer Engineering program, possess the required academic preparedness, technical competence, and research aptitude to successfully undertake this work as part of their major project. The proposed research reflects a comprehensive application of core Computer Engineering principles, including programming, data processing, embedded systems, networking, and intelligent computing, as covered throughout their academic curriculum.</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 study is appropriate to their level of study and demonstrates the effective integration of theoretical knowledge with practical implementation to address real-world challenges. Furthermore, the research exhibits relevance to contemporary technological and environmental concerns by promoting efficient resource utilization and sustainable practices. The project aligns well with our areas of academic expertise, enabling us to provide effective supervision, technical guidance, and scholarly oversight to ensure the academic quality, feasibility, and relevance of the work.</w:t>
      </w:r>
    </w:p>
    <w:p>
      <w:pPr>
        <w:spacing w:after="120" w:before="0"/>
      </w:pPr>
      <w:r>
        <w:t xml:space="preserve"/>
      </w:r>
    </w:p>
    <w:p>
      <w:pPr>
        <w:spacing w:after="80" w:before="80" w:line="360" w:lineRule="auto"/>
        <w:jc w:val="both"/>
      </w:pPr>
      <w:r>
        <w:rPr>
          <w:rFonts w:ascii="Arial" w:cs="Arial" w:eastAsia="Arial" w:hAnsi="Arial"/>
          <w:b/>
          <w:bCs/>
          <w:color w:val="444444"/>
          <w:sz w:val="22"/>
          <w:szCs w:val="22"/>
        </w:rPr>
        <w:t xml:space="preserve">Supervisor(s):</w:t>
      </w:r>
    </w:p>
    <w:p>
      <w:pPr>
        <w:spacing w:after="60" w:before="0"/>
      </w:pPr>
      <w:r>
        <w:t xml:space="preserve"/>
      </w:r>
    </w:p>
    <w:p>
      <w:pPr>
        <w:spacing w:after="80" w:before="80" w:line="360" w:lineRule="auto"/>
        <w:jc w:val="both"/>
      </w:pPr>
      <w:r>
        <w:rPr>
          <w:rFonts w:ascii="Arial" w:cs="Arial" w:eastAsia="Arial" w:hAnsi="Arial"/>
          <w:color w:val="444444"/>
          <w:sz w:val="22"/>
          <w:szCs w:val="22"/>
        </w:rPr>
        <w:t xml:space="preserve">Er. Birendra Singh Dhami</w:t>
      </w:r>
    </w:p>
    <w:p>
      <w:pPr>
        <w:spacing w:after="80" w:before="80" w:line="360" w:lineRule="auto"/>
        <w:jc w:val="both"/>
      </w:pPr>
      <w:r>
        <w:rPr>
          <w:rFonts w:ascii="Arial" w:cs="Arial" w:eastAsia="Arial" w:hAnsi="Arial"/>
          <w:color w:val="444444"/>
          <w:sz w:val="22"/>
          <w:szCs w:val="22"/>
        </w:rPr>
        <w:t xml:space="preserve">Er. Kamal Lekhak</w:t>
      </w:r>
    </w:p>
    <w:p>
      <w:pPr>
        <w:spacing w:after="60" w:before="0"/>
      </w:pPr>
      <w:r>
        <w:t xml:space="preserve"/>
      </w:r>
    </w:p>
    <w:p>
      <w:pPr>
        <w:spacing w:after="80" w:before="80" w:line="360" w:lineRule="auto"/>
        <w:jc w:val="both"/>
      </w:pPr>
      <w:r>
        <w:rPr>
          <w:rFonts w:ascii="Arial" w:cs="Arial" w:eastAsia="Arial" w:hAnsi="Arial"/>
          <w:color w:val="444444"/>
          <w:sz w:val="22"/>
          <w:szCs w:val="22"/>
        </w:rPr>
        <w:t xml:space="preserve">Date: February 11, 2026</w:t>
      </w:r>
    </w:p>
    <w:p>
      <w:r>
        <w:br w:type="page"/>
      </w:r>
    </w:p>
    <w:p>
      <w:pPr>
        <w:pStyle w:val="Heading1"/>
        <w:pBdr>
          <w:bottom w:val="single" w:color="2D6A4F" w:sz="6" w:space="4"/>
        </w:pBdr>
        <w:spacing w:after="180" w:before="360"/>
      </w:pPr>
      <w:r>
        <w:rPr>
          <w:rFonts w:ascii="Arial" w:cs="Arial" w:eastAsia="Arial" w:hAnsi="Arial"/>
          <w:b/>
          <w:bCs/>
          <w:color w:val="2D6A4F"/>
          <w:sz w:val="32"/>
          <w:szCs w:val="32"/>
        </w:rPr>
        <w:t xml:space="preserve">Chapter 1: Introduction</w:t>
      </w:r>
    </w:p>
    <w:p>
      <w:pPr>
        <w:spacing w:after="40" w:before="0"/>
      </w:pPr>
      <w:r>
        <w:t xml:space="preserve"/>
      </w:r>
    </w:p>
    <w:p>
      <w:pPr>
        <w:pStyle w:val="Heading2"/>
        <w:spacing w:after="120" w:before="280"/>
      </w:pPr>
      <w:r>
        <w:rPr>
          <w:rFonts w:ascii="Arial" w:cs="Arial" w:eastAsia="Arial" w:hAnsi="Arial"/>
          <w:b/>
          <w:bCs/>
          <w:color w:val="2C2C2C"/>
          <w:sz w:val="26"/>
          <w:szCs w:val="26"/>
        </w:rPr>
        <w:t xml:space="preserve">1.1 Background of the Study</w:t>
      </w:r>
    </w:p>
    <w:p>
      <w:pPr>
        <w:spacing w:after="80" w:before="80" w:line="360" w:lineRule="auto"/>
        <w:jc w:val="both"/>
      </w:pPr>
      <w:r>
        <w:rPr>
          <w:rFonts w:ascii="Arial" w:cs="Arial" w:eastAsia="Arial" w:hAnsi="Arial"/>
          <w:color w:val="444444"/>
          <w:sz w:val="22"/>
          <w:szCs w:val="22"/>
        </w:rPr>
        <w:t xml:space="preserve">Agriculture contributes to about one-third of the gross domestic product (GDP) in Nepal, reaching nearly Rs 57.48 billion in the current fiscal year 2082/83 BS, and provides employment to 74% of the economically active population. Despite this dominant role, the agricultural sector continues to face substantial challenges arising from low productivity, dependence on traditional methods, inadequate access to advanced technologies, and increasing climate change sensitivity.</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Climate change has brought unpredictable hailstorms, floods, and unseasonal rains that destroy crops and reduce yields. Farmers often rely on intuition and other irrelevant factors—such as the desire for quick profits or ignorance of market demands—when deciding which crops to cultivate. This can lead to poor choices and financial strain, ultimately discouraging farmers from the profession.</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Globally, agriculture remains the backbone of many economies, yet it faces unprecedented challenges: unpredictable weather, water shortage, soil degradation, pest attacks, and lack of timely expert advice. According to the United Nations, food production must increase by 60–70% by 2050 to feed 10 billion people. Traditional methods rely heavily on experience and guesswork, leading to over-irrigation (wasting up to 50% of water), improper fertilizer use, and delayed response to crop stress.</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 convergence of modern technology and renewable resources offers a transformative solution. Low-cost sensors powered by solar energy can continuously monitor soil and weather parameters, and machine learning models can predict optimal actions with high accuracy. This project implements exactly such an integrated smart agriculture monitoring and decision support system, tailored for the socio-economic and geographic context of Far Western Nepal.</w:t>
      </w:r>
    </w:p>
    <w:p>
      <w:pPr>
        <w:spacing w:after="60" w:before="0"/>
      </w:pPr>
      <w:r>
        <w:t xml:space="preserve"/>
      </w:r>
    </w:p>
    <w:p>
      <w:pPr>
        <w:pStyle w:val="Heading2"/>
        <w:spacing w:after="120" w:before="280"/>
      </w:pPr>
      <w:r>
        <w:rPr>
          <w:rFonts w:ascii="Arial" w:cs="Arial" w:eastAsia="Arial" w:hAnsi="Arial"/>
          <w:b/>
          <w:bCs/>
          <w:color w:val="2C2C2C"/>
          <w:sz w:val="26"/>
          <w:szCs w:val="26"/>
        </w:rPr>
        <w:t xml:space="preserve">1.2 Statement of Problem</w:t>
      </w:r>
    </w:p>
    <w:p>
      <w:pPr>
        <w:spacing w:after="80" w:before="80" w:line="360" w:lineRule="auto"/>
        <w:jc w:val="both"/>
      </w:pPr>
      <w:r>
        <w:rPr>
          <w:rFonts w:ascii="Arial" w:cs="Arial" w:eastAsia="Arial" w:hAnsi="Arial"/>
          <w:color w:val="444444"/>
          <w:sz w:val="22"/>
          <w:szCs w:val="22"/>
        </w:rPr>
        <w:t xml:space="preserve">The current state of agriculture in Nepal—particularly in the Far Western Province—is characterized by several interconnected problems that limit productivity and sustainability:</w:t>
      </w:r>
    </w:p>
    <w:p>
      <w:pPr>
        <w:spacing w:after="30" w:before="0"/>
      </w:pPr>
      <w:r>
        <w:t xml:space="preserve"/>
      </w:r>
    </w:p>
    <w:p>
      <w:pPr>
        <w:pStyle w:val="ListParagraph"/>
        <w:numPr>
          <w:ilvl w:val="0"/>
          <w:numId w:val="2"/>
        </w:numPr>
        <w:spacing w:after="40" w:before="40" w:line="340" w:lineRule="auto"/>
        <w:jc w:val="both"/>
      </w:pPr>
      <w:r>
        <w:rPr>
          <w:rFonts w:ascii="Arial" w:cs="Arial" w:eastAsia="Arial" w:hAnsi="Arial"/>
          <w:color w:val="444444"/>
          <w:sz w:val="22"/>
          <w:szCs w:val="22"/>
        </w:rPr>
        <w:t xml:space="preserve">Dependency on weather forecasts from unverified or outdated sources, resulting in suboptimal planting and harvesting schedules.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Intuition-based farming decisions that ignore real-time soil conditions, leading to inappropriate crop selection and resource misuse.</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Lack of real-time field data, depriving farmers of the timely information needed to respond proactively to crop stress, soil anomalies, or irrigation needs.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Widespread illiteracy about soil characteristics (pH, NPK levels, moisture content), making it difficult for farmers to optimize fertilizer application and crop selection.</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Reduced crop productivity due to over-irrigation, under-fertilization, and delayed intervention during pest or disease outbreaks.</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These issues make traditional farming less productive, less profitable, and less sustainable. The proposed system directly addresses these problems by enabling data-driven decision-making, replacing guesswork with precise, sensor-validated recommendations for crop selection, irrigation scheduling, and fertilizer application.</w:t>
      </w:r>
    </w:p>
    <w:p>
      <w:pPr>
        <w:spacing w:after="60" w:before="0"/>
      </w:pPr>
      <w:r>
        <w:t xml:space="preserve"/>
      </w:r>
    </w:p>
    <w:p>
      <w:pPr>
        <w:pStyle w:val="Heading2"/>
        <w:spacing w:after="120" w:before="280"/>
      </w:pPr>
      <w:r>
        <w:rPr>
          <w:rFonts w:ascii="Arial" w:cs="Arial" w:eastAsia="Arial" w:hAnsi="Arial"/>
          <w:b/>
          <w:bCs/>
          <w:color w:val="2C2C2C"/>
          <w:sz w:val="26"/>
          <w:szCs w:val="26"/>
        </w:rPr>
        <w:t xml:space="preserve">1.3 Objective of the Study</w:t>
      </w:r>
    </w:p>
    <w:p>
      <w:pPr>
        <w:spacing w:after="80" w:before="80" w:line="360" w:lineRule="auto"/>
        <w:jc w:val="both"/>
      </w:pPr>
      <w:r>
        <w:rPr>
          <w:rFonts w:ascii="Arial" w:cs="Arial" w:eastAsia="Arial" w:hAnsi="Arial"/>
          <w:color w:val="444444"/>
          <w:sz w:val="22"/>
          <w:szCs w:val="22"/>
        </w:rPr>
        <w:t xml:space="preserve">The main objectives of this project are:</w:t>
      </w:r>
    </w:p>
    <w:p>
      <w:pPr>
        <w:spacing w:after="30" w:before="0"/>
      </w:pPr>
      <w:r>
        <w:t xml:space="preserve"/>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To implement machine learning models that analyze real-time sensor data and provide actionable recommendations for crop selection, fertilizer application, and irrigation scheduling.</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To build an IoT-based monitoring system with a user-friendly decision support dashboard accessible to farmers in remote areas.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To make farming smart and sustainable by reducing dependence on intuition and promoting evidence-based agricultural practices.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To integrate renewable energy (solar-based power supply) for efficient and continuous system operation in field environments.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To ensure optimal use of water and fertilizer resources, reducing waste while maximizing crop yield and quality.</w:t>
      </w:r>
    </w:p>
    <w:p>
      <w:pPr>
        <w:spacing w:after="60" w:before="0"/>
      </w:pPr>
      <w:r>
        <w:t xml:space="preserve"/>
      </w:r>
    </w:p>
    <w:p>
      <w:pPr>
        <w:pStyle w:val="Heading2"/>
        <w:spacing w:after="120" w:before="280"/>
      </w:pPr>
      <w:r>
        <w:rPr>
          <w:rFonts w:ascii="Arial" w:cs="Arial" w:eastAsia="Arial" w:hAnsi="Arial"/>
          <w:b/>
          <w:bCs/>
          <w:color w:val="2C2C2C"/>
          <w:sz w:val="26"/>
          <w:szCs w:val="26"/>
        </w:rPr>
        <w:t xml:space="preserve">1.4 Significance of the Study</w:t>
      </w:r>
    </w:p>
    <w:p>
      <w:pPr>
        <w:spacing w:after="80" w:before="80" w:line="360" w:lineRule="auto"/>
        <w:jc w:val="both"/>
      </w:pPr>
      <w:r>
        <w:rPr>
          <w:rFonts w:ascii="Arial" w:cs="Arial" w:eastAsia="Arial" w:hAnsi="Arial"/>
          <w:color w:val="444444"/>
          <w:sz w:val="22"/>
          <w:szCs w:val="22"/>
        </w:rPr>
        <w:t xml:space="preserve">This research holds significance across multiple dimensions—technological, socio-economic, environmental, and academic:</w:t>
      </w:r>
    </w:p>
    <w:p>
      <w:pPr>
        <w:spacing w:after="30" w:before="0"/>
      </w:pPr>
      <w:r>
        <w:t xml:space="preserve"/>
      </w:r>
    </w:p>
    <w:p>
      <w:pPr>
        <w:pStyle w:val="ListParagraph"/>
        <w:numPr>
          <w:ilvl w:val="0"/>
          <w:numId w:val="2"/>
        </w:numPr>
        <w:spacing w:after="40" w:before="40" w:line="340" w:lineRule="auto"/>
        <w:jc w:val="both"/>
      </w:pPr>
      <w:r>
        <w:rPr>
          <w:rFonts w:ascii="Arial" w:cs="Arial" w:eastAsia="Arial" w:hAnsi="Arial"/>
          <w:color w:val="444444"/>
          <w:sz w:val="22"/>
          <w:szCs w:val="22"/>
        </w:rPr>
        <w:t xml:space="preserve">Empowering Smallholder Farmers: By providing accessible, real-time decision support, the system enables farmers—many of whom have limited formal education—to make informed choices about crop selection, irrigation, and fertilizer use, directly improving their livelihoods and income stability.</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Advancing Precision Agriculture in Nepal: The project represents one of the first locally deployed IoT and ML-integrated smart agriculture systems in the Far Western Province, contributing to the national digitalization of the agriculture sector and advancing precision farming practices in a region where such technology adoption remains nascent.</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Sustainable Resource Management: By optimizing water use through automated irrigation recommendations and reducing over-application of fertilizers, the system contributes to environmental sustainability—preventing soil degradation and water table depletion that threaten long-term agricultural viability.</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Renewable Energy Integration: Powering the IoT hardware with solar energy not only reduces operational costs but also demonstrates a viable model for sustainable, off-grid agricultural technology deployment in remote areas where grid electricity is unreliable.</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Academic and Research Contribution: The project advances understanding of how IoT sensor networks, cloud computing, and ensemble ML models can be adapted for agricultural contexts in developing countries. Findings and system architecture can inform future research and larger-scale deployments across Nepal.</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Alignment with National and Global Goals: The project directly supports Nepal's agricultural modernization agenda and aligns with the United Nations Sustainable Development Goals (SDGs), particularly SDG 2 (Zero Hunger), SDG 9 (Industry, Innovation, and Infrastructure), and SDG 12 (Responsible Consumption and Production).</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Institutional Benefit to FWU: As a product of the Research, Innovation and Development Center (RIDC) initiative under Far Western University, this project strengthens the university's research profile and demonstrates the practical engineering capacity of its students in solving real-world problems.</w:t>
      </w:r>
    </w:p>
    <w:p>
      <w:pPr>
        <w:spacing w:after="60" w:before="0"/>
      </w:pPr>
      <w:r>
        <w:t xml:space="preserve"/>
      </w:r>
    </w:p>
    <w:p>
      <w:pPr>
        <w:pStyle w:val="Heading2"/>
        <w:spacing w:after="120" w:before="280"/>
      </w:pPr>
      <w:r>
        <w:rPr>
          <w:rFonts w:ascii="Arial" w:cs="Arial" w:eastAsia="Arial" w:hAnsi="Arial"/>
          <w:b/>
          <w:bCs/>
          <w:color w:val="2C2C2C"/>
          <w:sz w:val="26"/>
          <w:szCs w:val="26"/>
        </w:rPr>
        <w:t xml:space="preserve">1.5 De/Limitations</w:t>
      </w:r>
    </w:p>
    <w:p>
      <w:pPr>
        <w:spacing w:after="80" w:before="80" w:line="360" w:lineRule="auto"/>
        <w:jc w:val="both"/>
      </w:pPr>
      <w:r>
        <w:rPr>
          <w:rFonts w:ascii="Arial" w:cs="Arial" w:eastAsia="Arial" w:hAnsi="Arial"/>
          <w:color w:val="444444"/>
          <w:sz w:val="22"/>
          <w:szCs w:val="22"/>
        </w:rPr>
        <w:t xml:space="preserve">Delimitations (Scope Boundaries Defined by the Researchers):</w:t>
      </w:r>
    </w:p>
    <w:p>
      <w:pPr>
        <w:spacing w:after="20" w:before="0"/>
      </w:pPr>
      <w:r>
        <w:t xml:space="preserve"/>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This study is delimited to the deployment and testing of the smart agriculture monitoring system within a pilot field area proximate to Far Western University, Central Campus, Mahendranagar.</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The crop recommendation model is trained and validated for crop varieties commonly cultivated in the Far Western Province of Nepal, and is not generalized for all crop types or geographic regions.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The hardware stack is limited to ESP32 microcontrollers, and sensors including pH, NPK, BME280 (temperature/humidity), and soil moisture sensors. Advanced sensor arrays or industrial-grade instruments are excluded from the current scope.</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The project timeline is bounded to the period February 2026 – August 2026, covering all phases from hardware procurement to field validation and documentation.</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The system dashboard is designed as a web-based interface; native mobile application development is outside the current project scope.</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Limitations (Constraints Acknowledged by the Researchers):</w:t>
      </w:r>
    </w:p>
    <w:p>
      <w:pPr>
        <w:spacing w:after="20" w:before="0"/>
      </w:pPr>
      <w:r>
        <w:t xml:space="preserve"/>
      </w:r>
    </w:p>
    <w:p>
      <w:pPr>
        <w:pStyle w:val="ListParagraph"/>
        <w:numPr>
          <w:ilvl w:val="0"/>
          <w:numId w:val="2"/>
        </w:numPr>
        <w:spacing w:after="40" w:before="40" w:line="340" w:lineRule="auto"/>
        <w:jc w:val="both"/>
      </w:pPr>
      <w:r>
        <w:rPr>
          <w:rFonts w:ascii="Arial" w:cs="Arial" w:eastAsia="Arial" w:hAnsi="Arial"/>
          <w:color w:val="444444"/>
          <w:sz w:val="22"/>
          <w:szCs w:val="22"/>
        </w:rPr>
        <w:t xml:space="preserve">Data Availability: Initial ML model training relies partially on publicly available crop and soil datasets (such as the Kaggle Crop Recommendation Dataset). Field-collected data from the pilot site will be limited due to the short project duration, which may constrain model fine-tuning for hyper-local conditions.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Connectivity Constraints: Internet connectivity in remote agricultural areas of Far Western Nepal can be inconsistent. While the system supports MQTT over WiFi and LoRa as a fallback, intermittent connectivity may affect real-time data transmission performance.</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Sensor Calibration Accuracy: NPK and pH sensors in the affordable consumer-grade range may exhibit drift over time and require periodic recalibration, which could introduce measurement variability in extended field deployments.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Scalability Testing: The prototype will be deployed and tested at a single pilot site; multi-farm scalability, while architecturally supported, cannot be empirically validated within the current project scope.</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Weather Data Dependency: The system relies on external weather APIs for supplementary atmospheric data. Service interruptions or API changes may affect the accuracy of weather-dependent recommendations.</w:t>
      </w:r>
    </w:p>
    <w:p>
      <w:r>
        <w:br w:type="page"/>
      </w:r>
    </w:p>
    <w:p>
      <w:pPr>
        <w:pStyle w:val="Heading1"/>
        <w:pBdr>
          <w:bottom w:val="single" w:color="2D6A4F" w:sz="6" w:space="4"/>
        </w:pBdr>
        <w:spacing w:after="180" w:before="360"/>
      </w:pPr>
      <w:r>
        <w:rPr>
          <w:rFonts w:ascii="Arial" w:cs="Arial" w:eastAsia="Arial" w:hAnsi="Arial"/>
          <w:b/>
          <w:bCs/>
          <w:color w:val="2D6A4F"/>
          <w:sz w:val="32"/>
          <w:szCs w:val="32"/>
        </w:rPr>
        <w:t xml:space="preserve">Chapter 2: Literature Review</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 integration of the Internet of Things (IoT), cloud computing, and artificial intelligence (AI) to transform traditional agriculture into a fully automated, data-driven system has gained significant momentum in recent years. A comprehensive review of existing literature reveals a strong convergence of research directions that validate the architecture and objectives of this project.</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Alreshidi highlighted the fragmentation issues in current agricultural processes and proposed a comprehensive Smart Sustainable Agriculture (SSA) platform underpinned by IoT and AI that addresses sensor data collection, cloud storage, big data analytics, interoperability, and real-time decision support—a vision that directly aligns with the architecture of the proposed system [1].</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Quy et al. presented a detailed survey of IoT-enabled smart agriculture ecosystems, emphasizing a layered architecture comprising perception (sensors/WSN), network, cloud processing, big data analytics, and application layers. They stressed the necessity of real-time monitoring of soil moisture, temperature, humidity, pH, nutrient levels, and weather data, followed by AI-driven predictive analytics and farmer-facing interfaces—essentially the exact blueprint this project follows [2].</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A study on the fusion of Wireless Sensor Networks, IoT, Cloud Computing, and AI/ML for smart farming proposed a modular architecture that includes: (i) WSN for data acquisition, (ii) edge/cloud processing, (iii) AI models for crop recommendation, irrigation scheduling, yield prediction, and crop rotation planning, and (iv) user-friendly web/mobile interfaces for real-time visualization and control. The authors explicitly state that such integrated systems lead to higher crop quality, optimal resource use, and weather-responsive strategies, validating the core objectives of the present work [3].</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Ibrahim et al. demonstrated the practical feasibility of combining IoT with deep learning (ResNet50 achieving 99.8% accuracy) for automated plant disease detection and treatment using low-cost hardware mounted on existing irrigation pivots. This proves that high-accuracy AI models can run locally or via cloud with minimal latency, strengthening the case for including pest and disease prediction modules in the proposed platform [4].</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Hossain et al. investigated an IoT-based smart irrigation system powered by renewable energy, specifically focusing on solar energy integration to improve water and energy efficiency in agricultural contexts. Their work highlights how sensor networks can actively monitor soil moisture and environmental parameters and, when combined with intelligent control logic, automate the irrigation process to reduce water wastage. The study demonstrated that solar-powered sensor systems not only lower operational costs but also enhance system sustainability for remote and smallholder farms where grid electricity is unreliable [5].</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 study by Kim et al. focuses on the application of IoT sensors paired with machine learning models to monitor soil and environmental conditions that support improved crop decision-making. The research emphasizes the importance of real-time data streams—including soil moisture, temperature, and nutrient levels—in enabling proactive irrigation scheduling and crop recommendations. Their validation of predictive analytics strategies directly informs the machine learning components of the current proposal [6].</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Reddy and Ghosh explored the design and performance of IoT networks specifically applied to smart farming environments, with detailed assessment of communication protocols, sensor integration strategies, and data reliability metrics. Their findings emphasize that proper network architecture, including low-power wide-area technologies, is crucial for consistent data acquisition in fields with irregular power and connectivity conditions [7].</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Zhang et al. presented an advanced IoT agriculture platform that integrates edge computing with cloud-based analytics for real-time decision support. The study demonstrated optimized data processing through distributed computing, enabling faster response times for irrigation and crop recommendations under varying environmental conditions. This hybrid computing approach is particularly relevant to the current proposal, which aims to use both local processing and cloud services to provide actionable recommendations without overwhelming limited hardware resources [8].</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Liu and Singh examined the socio-technical challenges of adopting IoT systems in rural agriculture, including affordability, farmer literacy, and technology trust issues. Their research highlights that successful adoption depends on user-centered design, local adaptability, and intuitive interfaces that bridge the gap between complex analytics and practical field decisions. These insights directly support the proposed project's focus on low-cost, solar-powered systems and user-centric dashboard design [9].</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Ahmed and Khan investigated the deployment of machine learning models for precision agriculture, focusing on predictive crop yield estimation and soil health analysis using sensor networks. Their results demonstrated that regression and ensemble learning models significantly outperform traditional rule-based systems in predicting optimal crop cycles and fertilizer recommendations. These findings provide strong empirical support for implementing machine learning techniques within the current project's decision support framework [10].</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These studies collectively confirm that the convergence of IoT sensors, cloud-based storage and analytics, AI/ML for predictive insights, and intuitive web/mobile dashboards represents the current state-of-the-art and the most promising pathway to sustainable, profitable, and climate-resilient agriculture—precisely the foundation upon which this project is built.</w:t>
      </w:r>
    </w:p>
    <w:p>
      <w:r>
        <w:br w:type="page"/>
      </w:r>
    </w:p>
    <w:p>
      <w:pPr>
        <w:pStyle w:val="Heading1"/>
        <w:pBdr>
          <w:bottom w:val="single" w:color="2D6A4F" w:sz="6" w:space="4"/>
        </w:pBdr>
        <w:spacing w:after="180" w:before="360"/>
      </w:pPr>
      <w:r>
        <w:rPr>
          <w:rFonts w:ascii="Arial" w:cs="Arial" w:eastAsia="Arial" w:hAnsi="Arial"/>
          <w:b/>
          <w:bCs/>
          <w:color w:val="2D6A4F"/>
          <w:sz w:val="32"/>
          <w:szCs w:val="32"/>
        </w:rPr>
        <w:t xml:space="preserve">Chapter 3: Research Methodology</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 methodology adopted for building this Smart Sustainable Agriculture (SSA) platform involves an iterative, multi-phase process grounded in both empirical field research and computational model development. Beginning with a thorough review of literature and clear definition of research goals, the project progresses through IoT architecture design, prototype development, machine learning model training, and field validation. The system is subsequently enhanced and refined through periodic updates based on performance assessment.</w:t>
      </w:r>
    </w:p>
    <w:p>
      <w:pPr>
        <w:spacing w:after="60" w:before="0"/>
      </w:pPr>
      <w:r>
        <w:t xml:space="preserve"/>
      </w:r>
    </w:p>
    <w:p>
      <w:pPr>
        <w:pStyle w:val="Heading2"/>
        <w:spacing w:after="120" w:before="280"/>
      </w:pPr>
      <w:r>
        <w:rPr>
          <w:rFonts w:ascii="Arial" w:cs="Arial" w:eastAsia="Arial" w:hAnsi="Arial"/>
          <w:b/>
          <w:bCs/>
          <w:color w:val="2C2C2C"/>
          <w:sz w:val="26"/>
          <w:szCs w:val="26"/>
        </w:rPr>
        <w:t xml:space="preserve">3.1 Study Area</w:t>
      </w:r>
    </w:p>
    <w:p>
      <w:pPr>
        <w:spacing w:after="80" w:before="80" w:line="360" w:lineRule="auto"/>
        <w:jc w:val="both"/>
      </w:pPr>
      <w:r>
        <w:rPr>
          <w:rFonts w:ascii="Arial" w:cs="Arial" w:eastAsia="Arial" w:hAnsi="Arial"/>
          <w:color w:val="444444"/>
          <w:sz w:val="22"/>
          <w:szCs w:val="22"/>
        </w:rPr>
        <w:t xml:space="preserve">The study is conducted within the Far Western Province (Sudurpaschim Pradesh) of Nepal, with the primary pilot deployment site located in the vicinity of Far Western University (FWU), Central Campus, Mahendranagar, Kanchanpur District. This region has been selected for the following reasons:</w:t>
      </w:r>
    </w:p>
    <w:p>
      <w:pPr>
        <w:spacing w:after="30" w:before="0"/>
      </w:pPr>
      <w:r>
        <w:t xml:space="preserve"/>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Agricultural Significance: The Far Western Province is predominantly agrarian, with the majority of the population engaged in subsistence and small-scale commercial farming. Principal crops include paddy, wheat, maize, mustard, lentils, and vegetables, all of which are candidates for the crop recommendation module.</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Technology Adoption Gap: Despite the region's agricultural importance, penetration of precision farming technologies remains extremely limited. Farmers largely rely on traditional knowledge, creating a high-impact opportunity for IoT-based decision support systems.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Climatic Context: The study area experiences a subtropical climate with distinct monsoon, winter, and summer seasons. Erratic rainfall patterns and increasing incidence of unseasonal weather events make real-time monitoring and data-driven guidance particularly valuable for local farmers.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Institutional Support: The proximity of the pilot site to Far Western University provides logistical support for hardware deployment, technical supervision, expert consultations, and laboratory facilities for sensor calibration and data analysis.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Connectivity Infrastructure: While some remote agricultural areas face connectivity challenges, the pilot site and its immediate vicinity have sufficient WiFi or mobile data coverage to support MQTT-based IoT communication, with LoRa modules available as a fallback for extended-range deployments.</w:t>
      </w:r>
    </w:p>
    <w:p>
      <w:pPr>
        <w:spacing w:after="60" w:before="0"/>
      </w:pPr>
      <w:r>
        <w:t xml:space="preserve"/>
      </w:r>
    </w:p>
    <w:p>
      <w:pPr>
        <w:pStyle w:val="Heading2"/>
        <w:spacing w:after="120" w:before="280"/>
      </w:pPr>
      <w:r>
        <w:rPr>
          <w:rFonts w:ascii="Arial" w:cs="Arial" w:eastAsia="Arial" w:hAnsi="Arial"/>
          <w:b/>
          <w:bCs/>
          <w:color w:val="2C2C2C"/>
          <w:sz w:val="26"/>
          <w:szCs w:val="26"/>
        </w:rPr>
        <w:t xml:space="preserve">3.2 Sample Size and Sampling Procedure</w:t>
      </w:r>
    </w:p>
    <w:p>
      <w:pPr>
        <w:spacing w:after="80" w:before="80" w:line="360" w:lineRule="auto"/>
        <w:jc w:val="both"/>
      </w:pPr>
      <w:r>
        <w:rPr>
          <w:rFonts w:ascii="Arial" w:cs="Arial" w:eastAsia="Arial" w:hAnsi="Arial"/>
          <w:color w:val="444444"/>
          <w:sz w:val="22"/>
          <w:szCs w:val="22"/>
        </w:rPr>
        <w:t xml:space="preserve">Given the IoT-driven and machine learning-oriented nature of this research, data collection encompasses two complementary streams: real-time sensor data from field deployments and curated secondary agricultural datasets used for initial model training.</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Primary Data (IoT Sensor Data):</w:t>
      </w:r>
    </w:p>
    <w:p>
      <w:pPr>
        <w:spacing w:after="20" w:before="0"/>
      </w:pPr>
      <w:r>
        <w:t xml:space="preserve"/>
      </w:r>
    </w:p>
    <w:p>
      <w:pPr>
        <w:pStyle w:val="ListParagraph"/>
        <w:numPr>
          <w:ilvl w:val="0"/>
          <w:numId w:val="2"/>
        </w:numPr>
        <w:spacing w:after="40" w:before="40" w:line="340" w:lineRule="auto"/>
        <w:jc w:val="both"/>
      </w:pPr>
      <w:r>
        <w:rPr>
          <w:rFonts w:ascii="Arial" w:cs="Arial" w:eastAsia="Arial" w:hAnsi="Arial"/>
          <w:color w:val="444444"/>
          <w:sz w:val="22"/>
          <w:szCs w:val="22"/>
        </w:rPr>
        <w:t xml:space="preserve">Sensor nodes will be deployed at a minimum of three distinct locations within the pilot field, selected to represent variation in soil type, moisture gradient, and sun exposure. This stratified spatial sampling ensures that the collected data captures representative field conditions.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Each ESP32-based sensor node will continuously transmit readings at 15-minute intervals, generating approximately 96 data records per node per day. Over the six-month project period (March–August 2026), this yields an estimated 17,000+ primary sensor observations per node.</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Sensor calibration readings will be collected in controlled laboratory conditions at FWU prior to field deployment, providing a baseline dataset of at least 200 calibration samples per sensor type.</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Secondary Data (Training Datasets for ML Models):</w:t>
      </w:r>
    </w:p>
    <w:p>
      <w:pPr>
        <w:spacing w:after="20" w:before="0"/>
      </w:pPr>
      <w:r>
        <w:t xml:space="preserve"/>
      </w:r>
    </w:p>
    <w:p>
      <w:pPr>
        <w:pStyle w:val="ListParagraph"/>
        <w:numPr>
          <w:ilvl w:val="0"/>
          <w:numId w:val="2"/>
        </w:numPr>
        <w:spacing w:after="40" w:before="40" w:line="340" w:lineRule="auto"/>
        <w:jc w:val="both"/>
      </w:pPr>
      <w:r>
        <w:rPr>
          <w:rFonts w:ascii="Arial" w:cs="Arial" w:eastAsia="Arial" w:hAnsi="Arial"/>
          <w:color w:val="444444"/>
          <w:sz w:val="22"/>
          <w:szCs w:val="22"/>
        </w:rPr>
        <w:t xml:space="preserve">Crop Recommendation Model: The Kaggle Crop Recommendation Dataset, comprising 2,200 labeled samples across 22 crop classes with features including N, P, K, temperature, humidity, pH, and rainfall, will be used as the primary training corpus.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Fertilizer Recommendation Model: Publicly available fertilizer recommendation datasets containing soil nutrient profiles and corresponding fertilizer prescriptions will supplement field-collected data.</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Purposive sampling is applied in sensor placement to maximize soil and microclimate diversity within the pilot area. Random sampling governs the train-test split for ML model development (80:20 ratio), with stratified cross-validation (5-fold) used during model tuning to ensure balanced class representation.</w:t>
      </w:r>
    </w:p>
    <w:p>
      <w:pPr>
        <w:spacing w:after="60" w:before="0"/>
      </w:pPr>
      <w:r>
        <w:t xml:space="preserve"/>
      </w:r>
    </w:p>
    <w:p>
      <w:pPr>
        <w:pStyle w:val="Heading2"/>
        <w:spacing w:after="120" w:before="280"/>
      </w:pPr>
      <w:r>
        <w:rPr>
          <w:rFonts w:ascii="Arial" w:cs="Arial" w:eastAsia="Arial" w:hAnsi="Arial"/>
          <w:b/>
          <w:bCs/>
          <w:color w:val="2C2C2C"/>
          <w:sz w:val="26"/>
          <w:szCs w:val="26"/>
        </w:rPr>
        <w:t xml:space="preserve">3.3 Tools of Data Collection</w:t>
      </w:r>
    </w:p>
    <w:p>
      <w:pPr>
        <w:spacing w:after="80" w:before="80" w:line="360" w:lineRule="auto"/>
        <w:jc w:val="both"/>
      </w:pPr>
      <w:r>
        <w:rPr>
          <w:rFonts w:ascii="Arial" w:cs="Arial" w:eastAsia="Arial" w:hAnsi="Arial"/>
          <w:color w:val="444444"/>
          <w:sz w:val="22"/>
          <w:szCs w:val="22"/>
        </w:rPr>
        <w:t xml:space="preserve">Data collection in this project employs a structured IoT hardware and software stack, designed for reliability, affordability, and compatibility with the Far Western Nepal field environment.</w:t>
      </w:r>
    </w:p>
    <w:p>
      <w:pPr>
        <w:spacing w:after="30" w:before="0"/>
      </w:pPr>
      <w:r>
        <w:t xml:space="preserve"/>
      </w:r>
    </w:p>
    <w:p>
      <w:pPr>
        <w:spacing w:after="80" w:before="80" w:line="360" w:lineRule="auto"/>
        <w:jc w:val="both"/>
      </w:pPr>
      <w:r>
        <w:rPr>
          <w:rFonts w:ascii="Arial" w:cs="Arial" w:eastAsia="Arial" w:hAnsi="Arial"/>
          <w:b/>
          <w:bCs/>
          <w:color w:val="444444"/>
          <w:sz w:val="22"/>
          <w:szCs w:val="22"/>
        </w:rPr>
        <w:t xml:space="preserve">Hardware Tools:</w:t>
      </w:r>
    </w:p>
    <w:p>
      <w:pPr>
        <w:spacing w:after="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1726"/>
      </w:tblGrid>
      <w:tr>
        <w:trPr>
          <w:tblHeader/>
        </w:trPr>
        <w:tc>
          <w:tcPr>
            <w:tcW w:type="dxa" w:w="200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c>
          <w:tcPr>
            <w:tcW w:type="dxa" w:w="1726"/>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Alternatives</w:t>
            </w:r>
          </w:p>
        </w:tc>
      </w:tr>
      <w:t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ESP32 Microcontroller</w:t>
            </w:r>
          </w:p>
        </w:tc>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Collects sensor data and transmits to backend</w:t>
            </w:r>
          </w:p>
        </w:tc>
        <w:tc>
          <w:tcPr>
            <w:tcW w:type="dxa" w:w="2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Low cost, built-in WiFi/Bluetooth, easy to program</w:t>
            </w:r>
          </w:p>
        </w:tc>
        <w:tc>
          <w:tcPr>
            <w:tcW w:type="dxa" w:w="17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Arduino Uno, Raspberry Pi Pico 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pH Sensor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Measures soil acidity for crop recommendation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pH directly affects crop suitability</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Atlas Scientific pH Probe</w:t>
            </w:r>
          </w:p>
        </w:tc>
      </w:tr>
      <w:t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Soil Moisture Sensor</w:t>
            </w:r>
          </w:p>
        </w:tc>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Monitors water content for irrigation decisions</w:t>
            </w:r>
          </w:p>
        </w:tc>
        <w:tc>
          <w:tcPr>
            <w:tcW w:type="dxa" w:w="2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Moisture directly impacts crop growth and irrigation timing</w:t>
            </w:r>
          </w:p>
        </w:tc>
        <w:tc>
          <w:tcPr>
            <w:tcW w:type="dxa" w:w="17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Capacitive sensors preferred for accuracy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BME280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Measures temperature and humidity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Affects crop suitability and evapotranspiration estimates</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DHT11 / DHT22</w:t>
            </w:r>
          </w:p>
        </w:tc>
      </w:tr>
      <w:t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NPK Sensor</w:t>
            </w:r>
          </w:p>
        </w:tc>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Measures soil nutrient levels (N, P, K)</w:t>
            </w:r>
          </w:p>
        </w:tc>
        <w:tc>
          <w:tcPr>
            <w:tcW w:type="dxa" w:w="2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Necessary for fertilizer recommendations</w:t>
            </w:r>
          </w:p>
        </w:tc>
        <w:tc>
          <w:tcPr>
            <w:tcW w:type="dxa" w:w="17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Commercial 3-in-1 NPK sensors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LoRa Module (Optional)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Long-range communication for remote farm nodes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Extends system coverage beyond WiFi range</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NB-IoT, WiFi mesh</w:t>
            </w:r>
          </w:p>
        </w:tc>
      </w:tr>
      <w:t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Solar Panel + Power Supply</w:t>
            </w:r>
          </w:p>
        </w:tc>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Ensures continuous operation in field</w:t>
            </w:r>
          </w:p>
        </w:tc>
        <w:tc>
          <w:tcPr>
            <w:tcW w:type="dxa" w:w="2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IoT devices require stable power in off-grid areas</w:t>
            </w:r>
          </w:p>
        </w:tc>
        <w:tc>
          <w:tcPr>
            <w:tcW w:type="dxa" w:w="17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Rechargeable batteries, UPS</w:t>
            </w:r>
          </w:p>
        </w:tc>
      </w:tr>
    </w:tbl>
    <w:p>
      <w:pPr>
        <w:spacing w:after="80" w:before="0"/>
      </w:pPr>
      <w:r>
        <w:t xml:space="preserve"/>
      </w:r>
    </w:p>
    <w:p>
      <w:pPr>
        <w:spacing w:after="80" w:before="80" w:line="360" w:lineRule="auto"/>
        <w:jc w:val="both"/>
      </w:pPr>
      <w:r>
        <w:rPr>
          <w:rFonts w:ascii="Arial" w:cs="Arial" w:eastAsia="Arial" w:hAnsi="Arial"/>
          <w:b/>
          <w:bCs/>
          <w:color w:val="444444"/>
          <w:sz w:val="22"/>
          <w:szCs w:val="22"/>
        </w:rPr>
        <w:t xml:space="preserve">Software and Communication Tools:</w:t>
      </w:r>
    </w:p>
    <w:p>
      <w:pPr>
        <w:spacing w:after="20" w:before="0"/>
      </w:pPr>
      <w:r>
        <w:t xml:space="preserve"/>
      </w:r>
    </w:p>
    <w:p>
      <w:pPr>
        <w:pStyle w:val="ListParagraph"/>
        <w:numPr>
          <w:ilvl w:val="0"/>
          <w:numId w:val="2"/>
        </w:numPr>
        <w:spacing w:after="40" w:before="40" w:line="340" w:lineRule="auto"/>
        <w:jc w:val="both"/>
      </w:pPr>
      <w:r>
        <w:rPr>
          <w:rFonts w:ascii="Arial" w:cs="Arial" w:eastAsia="Arial" w:hAnsi="Arial"/>
          <w:color w:val="444444"/>
          <w:sz w:val="22"/>
          <w:szCs w:val="22"/>
        </w:rPr>
        <w:t xml:space="preserve">Firmware: Arduino IDE / MicroPython for ESP32 sensor programming and WiFi/MQTT client implementation.</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Communication Protocol: MQTT (Message Queuing Telemetry Transport) for lightweight, real-time sensor-to-backend data transmission; HTTPS as a fallback.</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Cloud Platform: ThingSpeak (free tier) or AWS IoT Core + DynamoDB for remote sensor data ingestion and storage.</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Backend Framework: Python FastAPI for REST API development, sensor data validation, and ML model serving.</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Database: MongoDB for storage of raw sensor readings, processed predictions, and historical analytics.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Frontend Dashboard: React.js + Shadcn UI components for real-time data visualization, alerts, and recommendation display accessible by farmers.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Secondary Data Tools: Kaggle and UCI ML Repository for curated agricultural datasets; Python (pandas, NumPy) for data preprocessing and feature engineering.</w:t>
      </w:r>
    </w:p>
    <w:p>
      <w:pPr>
        <w:spacing w:after="60" w:before="0"/>
      </w:pPr>
      <w:r>
        <w:t xml:space="preserve"/>
      </w:r>
    </w:p>
    <w:p>
      <w:pPr>
        <w:pStyle w:val="Heading2"/>
        <w:spacing w:after="120" w:before="280"/>
      </w:pPr>
      <w:r>
        <w:rPr>
          <w:rFonts w:ascii="Arial" w:cs="Arial" w:eastAsia="Arial" w:hAnsi="Arial"/>
          <w:b/>
          <w:bCs/>
          <w:color w:val="2C2C2C"/>
          <w:sz w:val="26"/>
          <w:szCs w:val="26"/>
        </w:rPr>
        <w:t xml:space="preserve">3.4 Data Analysis Procedure</w:t>
      </w:r>
    </w:p>
    <w:p>
      <w:pPr>
        <w:spacing w:after="80" w:before="80" w:line="360" w:lineRule="auto"/>
        <w:jc w:val="both"/>
      </w:pPr>
      <w:r>
        <w:rPr>
          <w:rFonts w:ascii="Arial" w:cs="Arial" w:eastAsia="Arial" w:hAnsi="Arial"/>
          <w:color w:val="444444"/>
          <w:sz w:val="22"/>
          <w:szCs w:val="22"/>
        </w:rPr>
        <w:t xml:space="preserve">Data analysis in this project follows a structured pipeline spanning data ingestion, preprocessing, model development, evaluation, and deployment. The procedure is designed to ensure that recommendations delivered to farmers are statistically robust, interpretable, and actionable.</w:t>
      </w:r>
    </w:p>
    <w:p>
      <w:pPr>
        <w:spacing w:after="40" w:before="0"/>
      </w:pPr>
      <w:r>
        <w:t xml:space="preserve"/>
      </w:r>
    </w:p>
    <w:p>
      <w:pPr>
        <w:spacing w:after="80" w:before="80" w:line="360" w:lineRule="auto"/>
        <w:jc w:val="both"/>
      </w:pPr>
      <w:r>
        <w:rPr>
          <w:rFonts w:ascii="Arial" w:cs="Arial" w:eastAsia="Arial" w:hAnsi="Arial"/>
          <w:b/>
          <w:bCs/>
          <w:color w:val="444444"/>
          <w:sz w:val="22"/>
          <w:szCs w:val="22"/>
        </w:rPr>
        <w:t xml:space="preserve">Step 1 — Data Ingestion and Validation:</w:t>
      </w:r>
    </w:p>
    <w:p>
      <w:pPr>
        <w:spacing w:after="80" w:before="80" w:line="360" w:lineRule="auto"/>
        <w:jc w:val="both"/>
      </w:pPr>
      <w:r>
        <w:rPr>
          <w:rFonts w:ascii="Arial" w:cs="Arial" w:eastAsia="Arial" w:hAnsi="Arial"/>
          <w:color w:val="444444"/>
          <w:sz w:val="22"/>
          <w:szCs w:val="22"/>
        </w:rPr>
        <w:t xml:space="preserve">Sensor readings transmitted via MQTT are received by the FastAPI backend, which performs schema validation, outlier detection (using z-score thresholding), and data type enforcement before persisting records to MongoDB.</w:t>
      </w:r>
    </w:p>
    <w:p>
      <w:pPr>
        <w:spacing w:after="30" w:before="0"/>
      </w:pPr>
      <w:r>
        <w:t xml:space="preserve"/>
      </w:r>
    </w:p>
    <w:p>
      <w:pPr>
        <w:spacing w:after="80" w:before="80" w:line="360" w:lineRule="auto"/>
        <w:jc w:val="both"/>
      </w:pPr>
      <w:r>
        <w:rPr>
          <w:rFonts w:ascii="Arial" w:cs="Arial" w:eastAsia="Arial" w:hAnsi="Arial"/>
          <w:b/>
          <w:bCs/>
          <w:color w:val="444444"/>
          <w:sz w:val="22"/>
          <w:szCs w:val="22"/>
        </w:rPr>
        <w:t xml:space="preserve">Step 2 — Data Preprocessing:</w:t>
      </w:r>
    </w:p>
    <w:p>
      <w:pPr>
        <w:spacing w:after="80" w:before="80" w:line="360" w:lineRule="auto"/>
        <w:jc w:val="both"/>
      </w:pPr>
      <w:r>
        <w:rPr>
          <w:rFonts w:ascii="Arial" w:cs="Arial" w:eastAsia="Arial" w:hAnsi="Arial"/>
          <w:color w:val="444444"/>
          <w:sz w:val="22"/>
          <w:szCs w:val="22"/>
        </w:rPr>
        <w:t xml:space="preserve">Raw sensor data undergoes cleaning (handling missing values via forward-fill or mean imputation), normalization (min-max scaling for neural network inputs), and feature engineering (e.g., deriving a composite soil health index from N, P, K, pH, and moisture readings). For the ML training pipeline, the Kaggle Crop Recommendation Dataset and fertilizer datasets are preprocessed using the same pipeline to ensure consistency between training and inference environments.</w:t>
      </w:r>
    </w:p>
    <w:p>
      <w:pPr>
        <w:spacing w:after="30" w:before="0"/>
      </w:pPr>
      <w:r>
        <w:t xml:space="preserve"/>
      </w:r>
    </w:p>
    <w:p>
      <w:pPr>
        <w:spacing w:after="80" w:before="80" w:line="360" w:lineRule="auto"/>
        <w:jc w:val="both"/>
      </w:pPr>
      <w:r>
        <w:rPr>
          <w:rFonts w:ascii="Arial" w:cs="Arial" w:eastAsia="Arial" w:hAnsi="Arial"/>
          <w:b/>
          <w:bCs/>
          <w:color w:val="444444"/>
          <w:sz w:val="22"/>
          <w:szCs w:val="22"/>
        </w:rPr>
        <w:t xml:space="preserve">Step 3 — Feature Selection:</w:t>
      </w:r>
    </w:p>
    <w:p>
      <w:pPr>
        <w:spacing w:after="80" w:before="80" w:line="360" w:lineRule="auto"/>
        <w:jc w:val="both"/>
      </w:pPr>
      <w:r>
        <w:rPr>
          <w:rFonts w:ascii="Arial" w:cs="Arial" w:eastAsia="Arial" w:hAnsi="Arial"/>
          <w:color w:val="444444"/>
          <w:sz w:val="22"/>
          <w:szCs w:val="22"/>
        </w:rPr>
        <w:t xml:space="preserve">Correlation analysis and feature importance scores derived from a preliminary Random Forest model are used to identify the most predictive features for each recommendation task (crop, fertilizer, irrigation). Features with low importance or high collinearity are dropped to reduce model complexity.</w:t>
      </w:r>
    </w:p>
    <w:p>
      <w:pPr>
        <w:spacing w:after="30" w:before="0"/>
      </w:pPr>
      <w:r>
        <w:t xml:space="preserve"/>
      </w:r>
    </w:p>
    <w:p>
      <w:pPr>
        <w:spacing w:after="80" w:before="80" w:line="360" w:lineRule="auto"/>
        <w:jc w:val="both"/>
      </w:pPr>
      <w:r>
        <w:rPr>
          <w:rFonts w:ascii="Arial" w:cs="Arial" w:eastAsia="Arial" w:hAnsi="Arial"/>
          <w:b/>
          <w:bCs/>
          <w:color w:val="444444"/>
          <w:sz w:val="22"/>
          <w:szCs w:val="22"/>
        </w:rPr>
        <w:t xml:space="preserve">Step 4 — Model Development and Training:</w:t>
      </w:r>
    </w:p>
    <w:p>
      <w:pPr>
        <w:spacing w:after="80" w:before="80" w:line="360" w:lineRule="auto"/>
        <w:jc w:val="both"/>
      </w:pPr>
      <w:r>
        <w:rPr>
          <w:rFonts w:ascii="Arial" w:cs="Arial" w:eastAsia="Arial" w:hAnsi="Arial"/>
          <w:color w:val="444444"/>
          <w:sz w:val="22"/>
          <w:szCs w:val="22"/>
        </w:rPr>
        <w:t xml:space="preserve">Two primary machine learning models are employed:</w:t>
      </w:r>
    </w:p>
    <w:p>
      <w:pPr>
        <w:spacing w:after="20" w:before="0"/>
      </w:pPr>
      <w:r>
        <w:t xml:space="preserve"/>
      </w:r>
    </w:p>
    <w:p>
      <w:pPr>
        <w:pStyle w:val="ListParagraph"/>
        <w:numPr>
          <w:ilvl w:val="0"/>
          <w:numId w:val="2"/>
        </w:numPr>
        <w:spacing w:after="40" w:before="40" w:line="340" w:lineRule="auto"/>
        <w:jc w:val="both"/>
      </w:pPr>
      <w:r>
        <w:rPr>
          <w:rFonts w:ascii="Arial" w:cs="Arial" w:eastAsia="Arial" w:hAnsi="Arial"/>
          <w:color w:val="444444"/>
          <w:sz w:val="22"/>
          <w:szCs w:val="22"/>
        </w:rPr>
        <w:t xml:space="preserve">Random Forest (Crop Recommendation): An ensemble of decision trees trained using bootstrap aggregation. For a new data point x, classification is determined by majority vote across all trees: C_rf^B(x) = majority vote {C_b(x)}_1^B. Hyperparameters (number of trees, max depth, min samples per leaf) are tuned via grid search with 5-fold cross-validation. Target accuracy: ≥ 92%.</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TabNet + XAI (Fertilizer Recommendation): A deep learning architecture designed specifically for tabular data. TabNet uses sequential attention to select the most relevant features at each decision step—soil moisture, pH, and NPK levels—ensuring predictions are both accurate and interpretable. Explainable AI (XAI) methods including SHAP (SHapley Additive exPlanations) are applied to generate per-prediction feature attribution scores, allowing farmers to understand which soil factors drove a given fertilizer recommendation.</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Additional candidate models (XGBoost, Decision Tree) are benchmarked against Random Forest and TabNet to identify the optimal model for each task prior to production deployment.</w:t>
      </w:r>
    </w:p>
    <w:p>
      <w:pPr>
        <w:spacing w:after="30" w:before="0"/>
      </w:pPr>
      <w:r>
        <w:t xml:space="preserve"/>
      </w:r>
    </w:p>
    <w:p>
      <w:pPr>
        <w:spacing w:after="80" w:before="80" w:line="360" w:lineRule="auto"/>
        <w:jc w:val="both"/>
      </w:pPr>
      <w:r>
        <w:rPr>
          <w:rFonts w:ascii="Arial" w:cs="Arial" w:eastAsia="Arial" w:hAnsi="Arial"/>
          <w:b/>
          <w:bCs/>
          <w:color w:val="444444"/>
          <w:sz w:val="22"/>
          <w:szCs w:val="22"/>
        </w:rPr>
        <w:t xml:space="preserve">Step 5 — Model Evaluation:</w:t>
      </w:r>
    </w:p>
    <w:p>
      <w:pPr>
        <w:spacing w:after="80" w:before="80" w:line="360" w:lineRule="auto"/>
        <w:jc w:val="both"/>
      </w:pPr>
      <w:r>
        <w:rPr>
          <w:rFonts w:ascii="Arial" w:cs="Arial" w:eastAsia="Arial" w:hAnsi="Arial"/>
          <w:color w:val="444444"/>
          <w:sz w:val="22"/>
          <w:szCs w:val="22"/>
        </w:rPr>
        <w:t xml:space="preserve">Model performance is assessed on the held-out test set using: Accuracy, Precision, Recall, F1-Score (for classification tasks). Predictions are also validated against agronomist expert knowledge to assess real-world plausibility before deployment.</w:t>
      </w:r>
    </w:p>
    <w:p>
      <w:pPr>
        <w:spacing w:after="30" w:before="0"/>
      </w:pPr>
      <w:r>
        <w:t xml:space="preserve"/>
      </w:r>
    </w:p>
    <w:p>
      <w:pPr>
        <w:spacing w:after="80" w:before="80" w:line="360" w:lineRule="auto"/>
        <w:jc w:val="both"/>
      </w:pPr>
      <w:r>
        <w:rPr>
          <w:rFonts w:ascii="Arial" w:cs="Arial" w:eastAsia="Arial" w:hAnsi="Arial"/>
          <w:b/>
          <w:bCs/>
          <w:color w:val="444444"/>
          <w:sz w:val="22"/>
          <w:szCs w:val="22"/>
        </w:rPr>
        <w:t xml:space="preserve">Step 6 — Deployment and Continuous Inference:</w:t>
      </w:r>
    </w:p>
    <w:p>
      <w:pPr>
        <w:spacing w:after="80" w:before="80" w:line="360" w:lineRule="auto"/>
        <w:jc w:val="both"/>
      </w:pPr>
      <w:r>
        <w:rPr>
          <w:rFonts w:ascii="Arial" w:cs="Arial" w:eastAsia="Arial" w:hAnsi="Arial"/>
          <w:color w:val="444444"/>
          <w:sz w:val="22"/>
          <w:szCs w:val="22"/>
        </w:rPr>
        <w:t xml:space="preserve">Trained models are exported (scikit-learn: .pkl; TabNet: PyTorch weights) and loaded into the FastAPI backend as inference endpoints. On each new sensor reading batch, the backend calls the appropriate model, generates recommendations, stores predictions in MongoDB, and triggers real-time dashboard updates and SMS/app alerts as warranted.</w:t>
      </w:r>
    </w:p>
    <w:p>
      <w:pPr>
        <w:spacing w:after="60" w:before="0"/>
      </w:pPr>
      <w:r>
        <w:t xml:space="preserve"/>
      </w:r>
    </w:p>
    <w:p>
      <w:pPr>
        <w:pStyle w:val="Heading2"/>
        <w:spacing w:after="120" w:before="280"/>
      </w:pPr>
      <w:r>
        <w:rPr>
          <w:rFonts w:ascii="Arial" w:cs="Arial" w:eastAsia="Arial" w:hAnsi="Arial"/>
          <w:b/>
          <w:bCs/>
          <w:color w:val="2C2C2C"/>
          <w:sz w:val="26"/>
          <w:szCs w:val="26"/>
        </w:rPr>
        <w:t xml:space="preserve">3.5 Expected Outcomes</w:t>
      </w:r>
    </w:p>
    <w:p>
      <w:pPr>
        <w:spacing w:after="80" w:before="80" w:line="360" w:lineRule="auto"/>
        <w:jc w:val="both"/>
      </w:pPr>
      <w:r>
        <w:rPr>
          <w:rFonts w:ascii="Arial" w:cs="Arial" w:eastAsia="Arial" w:hAnsi="Arial"/>
          <w:color w:val="444444"/>
          <w:sz w:val="22"/>
          <w:szCs w:val="22"/>
        </w:rPr>
        <w:t xml:space="preserve">Upon successful completion of the project, the following concrete outcomes are expected:</w:t>
      </w:r>
    </w:p>
    <w:p>
      <w:pPr>
        <w:spacing w:after="30" w:before="0"/>
      </w:pPr>
      <w:r>
        <w:t xml:space="preserve"/>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 fully functional, web-based smart agriculture decision support platform deployed and validated at the pilot field site near Far Western University, Central Campus.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 live dashboard displaying real-time sensor readings: soil temperature, moisture content, pH level, and NPK ratios, with historical trend visualization.</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An AI-powered crop recommendation engine providing ranked crop suggestions with confidence scores based on current soil and weather conditions.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An automated daily irrigation schedule (e.g., 'Irrigate 25 mm today at 6:00 AM') derived from soil moisture readings and evapotranspiration estimates.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 fertilizer recommendation module (e.g., 'Apply 30 kg Urea/ha') with SHAP-based explanations indicating which soil parameters drove the recommendation.</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An automated alert system delivering SMS or app notifications for critical conditions (e.g., 'Moisture critically low → Pump activation recommended').</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Model performance targets: ≥ 92% accuracy on crop recommendation; ≥ 95% irrigation water savings compared to traditional non-instrumented irrigation schedules.</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A documented, reproducible system architecture and codebase that can serve as a reference for future RIDC-funded smart agriculture research and scaled deployments across the Far Western Province.</w:t>
      </w:r>
    </w:p>
    <w:p>
      <w:r>
        <w:br w:type="page"/>
      </w:r>
    </w:p>
    <w:p>
      <w:pPr>
        <w:pStyle w:val="Heading1"/>
        <w:pBdr>
          <w:bottom w:val="single" w:color="2D6A4F" w:sz="6" w:space="4"/>
        </w:pBdr>
        <w:spacing w:after="180" w:before="360"/>
      </w:pPr>
      <w:r>
        <w:rPr>
          <w:rFonts w:ascii="Arial" w:cs="Arial" w:eastAsia="Arial" w:hAnsi="Arial"/>
          <w:b/>
          <w:bCs/>
          <w:color w:val="2D6A4F"/>
          <w:sz w:val="32"/>
          <w:szCs w:val="32"/>
        </w:rPr>
        <w:t xml:space="preserve">High Level Design of the System</w:t>
      </w:r>
    </w:p>
    <w:p>
      <w:pPr>
        <w:spacing w:after="40" w:before="0"/>
      </w:pPr>
      <w:r>
        <w:t xml:space="preserve"/>
      </w:r>
    </w:p>
    <w:p>
      <w:pPr>
        <w:pStyle w:val="Heading2"/>
        <w:spacing w:after="120" w:before="280"/>
      </w:pPr>
      <w:r>
        <w:rPr>
          <w:rFonts w:ascii="Arial" w:cs="Arial" w:eastAsia="Arial" w:hAnsi="Arial"/>
          <w:b/>
          <w:bCs/>
          <w:color w:val="2C2C2C"/>
          <w:sz w:val="26"/>
          <w:szCs w:val="26"/>
        </w:rPr>
        <w:t xml:space="preserve">System Overview</w:t>
      </w:r>
    </w:p>
    <w:p>
      <w:pPr>
        <w:spacing w:after="80" w:before="80" w:line="360" w:lineRule="auto"/>
        <w:jc w:val="both"/>
      </w:pPr>
      <w:r>
        <w:rPr>
          <w:rFonts w:ascii="Arial" w:cs="Arial" w:eastAsia="Arial" w:hAnsi="Arial"/>
          <w:color w:val="444444"/>
          <w:sz w:val="22"/>
          <w:szCs w:val="22"/>
        </w:rPr>
        <w:t xml:space="preserve">The proposed system is structured around three integrated layers: an IoT sensing and transmission layer, a cloud backend processing layer, and a web-based farmer interface layer. The overall block diagram illustrates how sensors, controllers, data processing models, and the user interface interact with each other to form a functional, end-to-end smart agriculture platform.</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 IoT layer comprises ESP32 microcontrollers connected to pH, NPK, soil moisture, and BME280 sensors. Readings are transmitted via MQTT over WiFi (or LoRa for remote sites) to the cloud backend. The backend, built on FastAPI, validates incoming data, stores it in MongoDB, and invokes the appropriate ML model endpoint to generate recommendations. Predictions and raw sensor data are then served to the React.js dashboard for real-time farmer visualization and to an alert engine that dispatches SMS or push notifications for anomaly conditions.</w:t>
      </w:r>
    </w:p>
    <w:p>
      <w:pPr>
        <w:spacing w:after="60" w:before="0"/>
      </w:pPr>
      <w:r>
        <w:t xml:space="preserve"/>
      </w:r>
    </w:p>
    <w:p>
      <w:pPr>
        <w:pStyle w:val="Heading2"/>
        <w:spacing w:after="120" w:before="280"/>
      </w:pPr>
      <w:r>
        <w:rPr>
          <w:rFonts w:ascii="Arial" w:cs="Arial" w:eastAsia="Arial" w:hAnsi="Arial"/>
          <w:b/>
          <w:bCs/>
          <w:color w:val="2C2C2C"/>
          <w:sz w:val="26"/>
          <w:szCs w:val="26"/>
        </w:rPr>
        <w:t xml:space="preserve">System Flow Diagram</w:t>
      </w:r>
    </w:p>
    <w:p>
      <w:pPr>
        <w:spacing w:after="80" w:before="80" w:line="360" w:lineRule="auto"/>
        <w:jc w:val="both"/>
      </w:pPr>
      <w:r>
        <w:rPr>
          <w:rFonts w:ascii="Arial" w:cs="Arial" w:eastAsia="Arial" w:hAnsi="Arial"/>
          <w:color w:val="444444"/>
          <w:sz w:val="22"/>
          <w:szCs w:val="22"/>
        </w:rPr>
        <w:t xml:space="preserve">The system flow begins with sensors collecting field readings (temperature, humidity, soil moisture, pH, and N/P/K content). The ESP32 transmits this data to the backend via MQTT. The backend receives, validates, and stores the data in MongoDB, then passes it to the ML inference engine. The ML models generate crop, fertilizer, and irrigation recommendations, which are stored in the database and rendered on the farmer-facing dashboard.</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 ML workflow follows a structured pipeline: raw data undergoes preprocessing (feature selection, handling of outliers and missing values), followed by train/test splitting. Model selection evaluates XGBoost, TabNet, Decision Tree, and Random Forest. The selected model undergoes training with cross-validation and parameter tuning until training goals are met. Final performance assessment uses accuracy, precision, and recall metrics on the held-out test set.</w:t>
      </w:r>
    </w:p>
    <w:p>
      <w:r>
        <w:br w:type="page"/>
      </w:r>
    </w:p>
    <w:p>
      <w:pPr>
        <w:pStyle w:val="Heading1"/>
        <w:pBdr>
          <w:bottom w:val="single" w:color="2D6A4F" w:sz="6" w:space="4"/>
        </w:pBdr>
        <w:spacing w:after="180" w:before="360"/>
      </w:pPr>
      <w:r>
        <w:rPr>
          <w:rFonts w:ascii="Arial" w:cs="Arial" w:eastAsia="Arial" w:hAnsi="Arial"/>
          <w:b/>
          <w:bCs/>
          <w:color w:val="2D6A4F"/>
          <w:sz w:val="32"/>
          <w:szCs w:val="32"/>
        </w:rPr>
        <w:t xml:space="preserve">Algorithm &amp; Mathematical Model</w:t>
      </w:r>
    </w:p>
    <w:p>
      <w:pPr>
        <w:spacing w:after="40" w:before="0"/>
      </w:pPr>
      <w:r>
        <w:t xml:space="preserve"/>
      </w:r>
    </w:p>
    <w:p>
      <w:pPr>
        <w:pStyle w:val="Heading2"/>
        <w:spacing w:after="120" w:before="280"/>
      </w:pPr>
      <w:r>
        <w:rPr>
          <w:rFonts w:ascii="Arial" w:cs="Arial" w:eastAsia="Arial" w:hAnsi="Arial"/>
          <w:b/>
          <w:bCs/>
          <w:color w:val="2C2C2C"/>
          <w:sz w:val="26"/>
          <w:szCs w:val="26"/>
        </w:rPr>
        <w:t xml:space="preserve">4.1 Random Forest</w:t>
      </w:r>
    </w:p>
    <w:p>
      <w:pPr>
        <w:spacing w:after="80" w:before="80" w:line="360" w:lineRule="auto"/>
        <w:jc w:val="both"/>
      </w:pPr>
      <w:r>
        <w:rPr>
          <w:rFonts w:ascii="Arial" w:cs="Arial" w:eastAsia="Arial" w:hAnsi="Arial"/>
          <w:color w:val="444444"/>
          <w:sz w:val="22"/>
          <w:szCs w:val="22"/>
        </w:rPr>
        <w:t xml:space="preserve">Random Forest is a machine learning ensemble algorithm that builds many decision trees and combines their outputs to make a final prediction. Random Forest models are highly beneficial for smallholder farms in developing countries due to their ability to handle complex and noisy data, which is common in agricultural contexts. These models excel at capturing nonlinear relationships between variables such as weather patterns, soil characteristics, crop types, and yields, providing accurate predictions and insights for farmers. The ensemble learning approach of Random Forests mitigates overfitting and improves generalization, making them suitable for situations with limited data availability.</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 Random Forest algorithm proceeds as follows:</w:t>
      </w:r>
    </w:p>
    <w:p>
      <w:pPr>
        <w:spacing w:after="20" w:before="0"/>
      </w:pPr>
      <w:r>
        <w:t xml:space="preserve"/>
      </w:r>
    </w:p>
    <w:p>
      <w:pPr>
        <w:spacing w:after="80" w:before="80" w:line="360" w:lineRule="auto"/>
        <w:jc w:val="both"/>
      </w:pPr>
      <w:r>
        <w:rPr>
          <w:rFonts w:ascii="Arial" w:cs="Arial" w:eastAsia="Arial" w:hAnsi="Arial"/>
          <w:color w:val="444444"/>
          <w:sz w:val="22"/>
          <w:szCs w:val="22"/>
        </w:rPr>
        <w:t xml:space="preserve">For b = 1 to B:</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Draw a bootstrap sample Z* of size N from the training data.</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Grow a random-forest tree T_b to the bootstrapped data, by recursively repeating the following steps for each terminal node until the minimum node size n_min is reached:</w:t>
      </w:r>
    </w:p>
    <w:p>
      <w:pPr>
        <w:pStyle w:val="ListParagraph"/>
        <w:numPr>
          <w:ilvl w:val="1"/>
          <w:numId w:val="2"/>
        </w:numPr>
        <w:spacing w:after="40" w:before="40" w:line="340" w:lineRule="auto"/>
        <w:jc w:val="both"/>
      </w:pPr>
      <w:r>
        <w:rPr>
          <w:rFonts w:ascii="Arial" w:cs="Arial" w:eastAsia="Arial" w:hAnsi="Arial"/>
          <w:color w:val="444444"/>
          <w:sz w:val="22"/>
          <w:szCs w:val="22"/>
        </w:rPr>
        <w:t xml:space="preserve">(i) Select m variables at random from the p variables.</w:t>
      </w:r>
    </w:p>
    <w:p>
      <w:pPr>
        <w:pStyle w:val="ListParagraph"/>
        <w:numPr>
          <w:ilvl w:val="1"/>
          <w:numId w:val="2"/>
        </w:numPr>
        <w:spacing w:after="40" w:before="40" w:line="340" w:lineRule="auto"/>
        <w:jc w:val="both"/>
      </w:pPr>
      <w:r>
        <w:rPr>
          <w:rFonts w:ascii="Arial" w:cs="Arial" w:eastAsia="Arial" w:hAnsi="Arial"/>
          <w:color w:val="444444"/>
          <w:sz w:val="22"/>
          <w:szCs w:val="22"/>
        </w:rPr>
        <w:t xml:space="preserve">(ii) Pick the best variable/split-point among the m.</w:t>
      </w:r>
    </w:p>
    <w:p>
      <w:pPr>
        <w:pStyle w:val="ListParagraph"/>
        <w:numPr>
          <w:ilvl w:val="1"/>
          <w:numId w:val="2"/>
        </w:numPr>
        <w:spacing w:after="40" w:before="40" w:line="340" w:lineRule="auto"/>
        <w:jc w:val="both"/>
      </w:pPr>
      <w:r>
        <w:rPr>
          <w:rFonts w:ascii="Arial" w:cs="Arial" w:eastAsia="Arial" w:hAnsi="Arial"/>
          <w:color w:val="444444"/>
          <w:sz w:val="22"/>
          <w:szCs w:val="22"/>
        </w:rPr>
        <w:t xml:space="preserve">(iii) Split the node into two daughter nodes.</w:t>
      </w:r>
    </w:p>
    <w:p>
      <w:pPr>
        <w:spacing w:after="30" w:before="0"/>
      </w:pPr>
      <w:r>
        <w:t xml:space="preserve"/>
      </w:r>
    </w:p>
    <w:p>
      <w:pPr>
        <w:spacing w:after="80" w:before="80" w:line="360" w:lineRule="auto"/>
        <w:jc w:val="both"/>
      </w:pPr>
      <w:r>
        <w:rPr>
          <w:rFonts w:ascii="Arial" w:cs="Arial" w:eastAsia="Arial" w:hAnsi="Arial"/>
          <w:color w:val="444444"/>
          <w:sz w:val="22"/>
          <w:szCs w:val="22"/>
        </w:rPr>
        <w:t xml:space="preserve">Output the ensemble of trees {T_b}^B_1.</w:t>
      </w:r>
    </w:p>
    <w:p>
      <w:pPr>
        <w:spacing w:after="20" w:before="0"/>
      </w:pPr>
      <w:r>
        <w:t xml:space="preserve"/>
      </w:r>
    </w:p>
    <w:p>
      <w:pPr>
        <w:spacing w:after="80" w:before="80" w:line="360" w:lineRule="auto"/>
        <w:jc w:val="both"/>
      </w:pPr>
      <w:r>
        <w:rPr>
          <w:rFonts w:ascii="Arial" w:cs="Arial" w:eastAsia="Arial" w:hAnsi="Arial"/>
          <w:color w:val="444444"/>
          <w:sz w:val="22"/>
          <w:szCs w:val="22"/>
        </w:rPr>
        <w:t xml:space="preserve">To make a prediction at a new point x:</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Regression: f_rf^B(x) = (1/B) × Σ T_b(x) from b=1 to B</w:t>
      </w:r>
    </w:p>
    <w:p>
      <w:pPr>
        <w:pStyle w:val="ListParagraph"/>
        <w:numPr>
          <w:ilvl w:val="0"/>
          <w:numId w:val="2"/>
        </w:numPr>
        <w:spacing w:after="40" w:before="40" w:line="340" w:lineRule="auto"/>
        <w:jc w:val="both"/>
      </w:pPr>
      <w:r>
        <w:rPr>
          <w:rFonts w:ascii="Arial" w:cs="Arial" w:eastAsia="Arial" w:hAnsi="Arial"/>
          <w:color w:val="444444"/>
          <w:sz w:val="22"/>
          <w:szCs w:val="22"/>
        </w:rPr>
        <w:t xml:space="preserve">Classification: Let C_b(x) be the class prediction of the b-th random-forest tree. Then C_rf^B(x) = majority vote {C_b(x)}^B_1</w:t>
      </w:r>
    </w:p>
    <w:p>
      <w:pPr>
        <w:spacing w:after="60" w:before="0"/>
      </w:pPr>
      <w:r>
        <w:t xml:space="preserve"/>
      </w:r>
    </w:p>
    <w:p>
      <w:pPr>
        <w:pStyle w:val="Heading2"/>
        <w:spacing w:after="120" w:before="280"/>
      </w:pPr>
      <w:r>
        <w:rPr>
          <w:rFonts w:ascii="Arial" w:cs="Arial" w:eastAsia="Arial" w:hAnsi="Arial"/>
          <w:b/>
          <w:bCs/>
          <w:color w:val="2C2C2C"/>
          <w:sz w:val="26"/>
          <w:szCs w:val="26"/>
        </w:rPr>
        <w:t xml:space="preserve">4.2 TabNet + XAI</w:t>
      </w:r>
    </w:p>
    <w:p>
      <w:pPr>
        <w:spacing w:after="80" w:before="80" w:line="360" w:lineRule="auto"/>
        <w:jc w:val="both"/>
      </w:pPr>
      <w:r>
        <w:rPr>
          <w:rFonts w:ascii="Arial" w:cs="Arial" w:eastAsia="Arial" w:hAnsi="Arial"/>
          <w:color w:val="444444"/>
          <w:sz w:val="22"/>
          <w:szCs w:val="22"/>
        </w:rPr>
        <w:t xml:space="preserve">TabNet is a deep learning architecture specifically designed for raw and unprocessed tabular data, making it ideal for analyzing soil conditions. Unlike traditional models that treat all input features equally, TabNet learns to focus selectively on the most relevant features—such as soil moisture, pH, and nutrient levels—at each decision step. When combined with explainable AI (XAI) methods like SHAP or LIME, TabNet not only provides accurate fertilizer or treatment recommendations but also explains which factors influenced those decisions, building farmer trust in the system.</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 TabNet classification workflow proceeds as follows:</w:t>
      </w:r>
    </w:p>
    <w:p>
      <w:pPr>
        <w:spacing w:after="20" w:before="0"/>
      </w:pPr>
      <w:r>
        <w:t xml:space="preserve"/>
      </w:r>
    </w:p>
    <w:p>
      <w:pPr>
        <w:pStyle w:val="ListParagraph"/>
        <w:numPr>
          <w:ilvl w:val="0"/>
          <w:numId w:val="3"/>
        </w:numPr>
        <w:spacing w:after="40" w:before="40" w:line="340" w:lineRule="auto"/>
        <w:jc w:val="both"/>
      </w:pPr>
      <w:r>
        <w:rPr>
          <w:rFonts w:ascii="Arial" w:cs="Arial" w:eastAsia="Arial" w:hAnsi="Arial"/>
          <w:color w:val="444444"/>
          <w:sz w:val="22"/>
          <w:szCs w:val="22"/>
        </w:rPr>
        <w:t xml:space="preserve">Preprocess the data by cleaning and transforming the input features (scaling, encoding, imputation).</w:t>
      </w:r>
    </w:p>
    <w:p>
      <w:pPr>
        <w:pStyle w:val="ListParagraph"/>
        <w:numPr>
          <w:ilvl w:val="0"/>
          <w:numId w:val="3"/>
        </w:numPr>
        <w:spacing w:after="40" w:before="40" w:line="340" w:lineRule="auto"/>
        <w:jc w:val="both"/>
      </w:pPr>
      <w:r>
        <w:rPr>
          <w:rFonts w:ascii="Arial" w:cs="Arial" w:eastAsia="Arial" w:hAnsi="Arial"/>
          <w:color w:val="444444"/>
          <w:sz w:val="22"/>
          <w:szCs w:val="22"/>
        </w:rPr>
        <w:t xml:space="preserve">Split the dataset into training and test sets (80:20 ratio with stratified sampling).</w:t>
      </w:r>
    </w:p>
    <w:p>
      <w:pPr>
        <w:pStyle w:val="ListParagraph"/>
        <w:numPr>
          <w:ilvl w:val="0"/>
          <w:numId w:val="3"/>
        </w:numPr>
        <w:spacing w:after="40" w:before="40" w:line="340" w:lineRule="auto"/>
        <w:jc w:val="both"/>
      </w:pPr>
      <w:r>
        <w:rPr>
          <w:rFonts w:ascii="Arial" w:cs="Arial" w:eastAsia="Arial" w:hAnsi="Arial"/>
          <w:color w:val="444444"/>
          <w:sz w:val="22"/>
          <w:szCs w:val="22"/>
        </w:rPr>
        <w:t xml:space="preserve">Train the TabNet model on the training set using sequential attention mechanisms that select relevant feature subsets at each decision step.</w:t>
      </w:r>
    </w:p>
    <w:p>
      <w:pPr>
        <w:pStyle w:val="ListParagraph"/>
        <w:numPr>
          <w:ilvl w:val="0"/>
          <w:numId w:val="3"/>
        </w:numPr>
        <w:spacing w:after="40" w:before="40" w:line="340" w:lineRule="auto"/>
        <w:jc w:val="both"/>
      </w:pPr>
      <w:r>
        <w:rPr>
          <w:rFonts w:ascii="Arial" w:cs="Arial" w:eastAsia="Arial" w:hAnsi="Arial"/>
          <w:color w:val="444444"/>
          <w:sz w:val="22"/>
          <w:szCs w:val="22"/>
        </w:rPr>
        <w:t xml:space="preserve">Evaluate the model's performance on the test set using accuracy, F1-score, precision, and recall.</w:t>
      </w:r>
    </w:p>
    <w:p>
      <w:pPr>
        <w:pStyle w:val="ListParagraph"/>
        <w:numPr>
          <w:ilvl w:val="0"/>
          <w:numId w:val="3"/>
        </w:numPr>
        <w:spacing w:after="40" w:before="40" w:line="340" w:lineRule="auto"/>
        <w:jc w:val="both"/>
      </w:pPr>
      <w:r>
        <w:rPr>
          <w:rFonts w:ascii="Arial" w:cs="Arial" w:eastAsia="Arial" w:hAnsi="Arial"/>
          <w:color w:val="444444"/>
          <w:sz w:val="22"/>
          <w:szCs w:val="22"/>
        </w:rPr>
        <w:t xml:space="preserve">Apply SHAP explainability to generate per-prediction feature attribution values, identifying which soil parameters most influenced each fertilizer recommendation.</w:t>
      </w:r>
    </w:p>
    <w:p>
      <w:pPr>
        <w:pStyle w:val="ListParagraph"/>
        <w:numPr>
          <w:ilvl w:val="0"/>
          <w:numId w:val="3"/>
        </w:numPr>
        <w:spacing w:after="40" w:before="40" w:line="340" w:lineRule="auto"/>
        <w:jc w:val="both"/>
      </w:pPr>
      <w:r>
        <w:rPr>
          <w:rFonts w:ascii="Arial" w:cs="Arial" w:eastAsia="Arial" w:hAnsi="Arial"/>
          <w:color w:val="444444"/>
          <w:sz w:val="22"/>
          <w:szCs w:val="22"/>
        </w:rPr>
        <w:t xml:space="preserve">Deploy the trained model to the FastAPI backend for real-time inference on incoming sensor data.</w:t>
      </w:r>
    </w:p>
    <w:p>
      <w:r>
        <w:br w:type="page"/>
      </w:r>
    </w:p>
    <w:p>
      <w:pPr>
        <w:pStyle w:val="Heading1"/>
        <w:pBdr>
          <w:bottom w:val="single" w:color="2D6A4F" w:sz="6" w:space="4"/>
        </w:pBdr>
        <w:spacing w:after="180" w:before="360"/>
      </w:pPr>
      <w:r>
        <w:rPr>
          <w:rFonts w:ascii="Arial" w:cs="Arial" w:eastAsia="Arial" w:hAnsi="Arial"/>
          <w:b/>
          <w:bCs/>
          <w:color w:val="2D6A4F"/>
          <w:sz w:val="32"/>
          <w:szCs w:val="32"/>
        </w:rPr>
        <w:t xml:space="preserve">Project Timeline</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 project will be executed in a phased manner beginning with conceptual research planning and an extensive literature review. This will be followed by hardware setup and field deployment of sensors for real-time data acquisition. A mathematical and computational model will then be developed, and machine learning algorithms will be trained using simulated datasets before being validated with actual field data. Finally, an intelligent recommendation system will be designed to support farmers in decision-making. The activities have been systematically scheduled across February 2026 to August 2026 to ensure timely completion, as illustrated in the Gantt chart below.</w:t>
      </w: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900"/>
        <w:gridCol w:w="900"/>
        <w:gridCol w:w="900"/>
        <w:gridCol w:w="900"/>
        <w:gridCol w:w="900"/>
        <w:gridCol w:w="900"/>
        <w:gridCol w:w="900"/>
      </w:tblGrid>
      <w:tr>
        <w:trPr>
          <w:tblHeader/>
        </w:trPr>
        <w:tc>
          <w:tcPr>
            <w:tcW w:type="dxa" w:w="2426"/>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90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Feb</w:t>
            </w:r>
          </w:p>
        </w:tc>
        <w:tc>
          <w:tcPr>
            <w:tcW w:type="dxa" w:w="90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w:t>
            </w:r>
          </w:p>
        </w:tc>
        <w:tc>
          <w:tcPr>
            <w:tcW w:type="dxa" w:w="90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Apr</w:t>
            </w:r>
          </w:p>
        </w:tc>
        <w:tc>
          <w:tcPr>
            <w:tcW w:type="dxa" w:w="90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May</w:t>
            </w:r>
          </w:p>
        </w:tc>
        <w:tc>
          <w:tcPr>
            <w:tcW w:type="dxa" w:w="90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Jun</w:t>
            </w:r>
          </w:p>
        </w:tc>
        <w:tc>
          <w:tcPr>
            <w:tcW w:type="dxa" w:w="90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Jul</w:t>
            </w:r>
          </w:p>
        </w:tc>
        <w:tc>
          <w:tcPr>
            <w:tcW w:type="dxa" w:w="90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Aug</w:t>
            </w:r>
          </w:p>
        </w:tc>
      </w:tr>
      <w:tr>
        <w:tc>
          <w:tcPr>
            <w:tcW w:type="dxa" w:w="24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Literature Review &amp; Proposal</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r>
      <w:tr>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Hardware Procurement &amp; Setup</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r>
      <w:tr>
        <w:tc>
          <w:tcPr>
            <w:tcW w:type="dxa" w:w="24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Sensor Integration &amp; Calibration</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r>
      <w:tr>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Cloud Setup &amp; Database</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r>
      <w:tr>
        <w:tc>
          <w:tcPr>
            <w:tcW w:type="dxa" w:w="24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AI Model Development</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r>
      <w:tr>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Web + Mobile App Development</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r>
      <w:tr>
        <w:tc>
          <w:tcPr>
            <w:tcW w:type="dxa" w:w="24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Field Testing &amp; Validation</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shd w:fill="F2F7F4" w:val="clear"/>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r>
      <w:tr>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Documentation &amp; Presentation</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40"/>
              <w:bottom w:type="dxa" w:w="80"/>
              <w:right w:type="dxa" w:w="40"/>
            </w:tcMar>
          </w:tcPr>
          <w:p>
            <w:pPr>
              <w:jc w:val="center"/>
            </w:pPr>
            <w:r>
              <w:rPr>
                <w:rFonts w:ascii="Arial" w:cs="Arial" w:eastAsia="Arial" w:hAnsi="Arial"/>
                <w:b/>
                <w:bCs/>
                <w:color w:val="52B788"/>
                <w:sz w:val="18"/>
                <w:szCs w:val="18"/>
              </w:rPr>
              <w:t xml:space="preserve">████</w:t>
            </w:r>
          </w:p>
        </w:tc>
      </w:tr>
    </w:tbl>
    <w:p>
      <w:r>
        <w:br w:type="page"/>
      </w:r>
    </w:p>
    <w:p>
      <w:pPr>
        <w:pStyle w:val="Heading1"/>
        <w:pBdr>
          <w:bottom w:val="single" w:color="2D6A4F" w:sz="6" w:space="4"/>
        </w:pBdr>
        <w:spacing w:after="180" w:before="360"/>
      </w:pPr>
      <w:r>
        <w:rPr>
          <w:rFonts w:ascii="Arial" w:cs="Arial" w:eastAsia="Arial" w:hAnsi="Arial"/>
          <w:b/>
          <w:bCs/>
          <w:color w:val="2D6A4F"/>
          <w:sz w:val="32"/>
          <w:szCs w:val="32"/>
        </w:rPr>
        <w:t xml:space="preserve">Detailed Budget</w:t>
      </w:r>
    </w:p>
    <w:p>
      <w:pPr>
        <w:spacing w:after="40" w:before="0"/>
      </w:pPr>
      <w:r>
        <w:t xml:space="preserve"/>
      </w:r>
    </w:p>
    <w:p>
      <w:pPr>
        <w:spacing w:after="80" w:before="80" w:line="360" w:lineRule="auto"/>
        <w:jc w:val="both"/>
      </w:pPr>
      <w:r>
        <w:rPr>
          <w:rFonts w:ascii="Arial" w:cs="Arial" w:eastAsia="Arial" w:hAnsi="Arial"/>
          <w:color w:val="444444"/>
          <w:sz w:val="22"/>
          <w:szCs w:val="22"/>
        </w:rPr>
        <w:t xml:space="preserve">The estimated budget required to complete this project, encompassing all anticipated expenses, is outlined below. All major components are sourced from local suppliers and online platforms (e.g., Daraz), ensuring cost-effectiveness and availability within Nepal. The School of Engineering, Far Western University, contributes laboratory facilities, computer systems, and internet access, significantly reducing infrastructure costs.</w:t>
      </w: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1750"/>
        <w:gridCol w:w="1750"/>
      </w:tblGrid>
      <w:tr>
        <w:trPr>
          <w:tblHeader/>
        </w:trPr>
        <w:tc>
          <w:tcPr>
            <w:tcW w:type="dxa" w:w="5526"/>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Expense Item</w:t>
            </w:r>
          </w:p>
        </w:tc>
        <w:tc>
          <w:tcPr>
            <w:tcW w:type="dxa" w:w="175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Cost (NPR)</w:t>
            </w:r>
          </w:p>
        </w:tc>
        <w:tc>
          <w:tcPr>
            <w:tcW w:type="dxa" w:w="1750"/>
            <w:tcBorders>
              <w:top w:val="single" w:color="CCCCCC" w:sz="1"/>
              <w:left w:val="single" w:color="CCCCCC" w:sz="1"/>
              <w:bottom w:val="single" w:color="CCCCCC" w:sz="1"/>
              <w:right w:val="single" w:color="CCCCCC" w:sz="1"/>
            </w:tcBorders>
            <w:shd w:fill="52B78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 Requested from RIDC</w:t>
            </w:r>
          </w:p>
        </w:tc>
      </w:tr>
      <w:tr>
        <w:tc>
          <w:tcPr>
            <w:tcW w:type="dxa" w:w="5526"/>
            <w:gridSpan w:val="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2D6A4F"/>
                <w:sz w:val="20"/>
                <w:szCs w:val="20"/>
              </w:rPr>
              <w:t xml:space="preserve">A. Equipment / Materials</w:t>
            </w:r>
          </w:p>
        </w:tc>
        <w:tc>
          <w:tcPr>
            <w:tcW w:type="dxa" w:w="1750"/>
            <w:tcBorders>
              <w:top w:val="single" w:color="CCCCCC" w:sz="1"/>
              <w:left w:val="single" w:color="CCCCCC" w:sz="1"/>
              <w:bottom w:val="single" w:color="CCCCCC" w:sz="1"/>
              <w:right w:val="single" w:color="CCCCCC" w:sz="1"/>
            </w:tcBorders>
          </w:tcPr>
          <w:p>
            <w:r>
              <w:t xml:space="preserve"/>
            </w:r>
          </w:p>
        </w:tc>
        <w:tc>
          <w:tcPr>
            <w:tcW w:type="dxa" w:w="1750"/>
            <w:tcBorders>
              <w:top w:val="single" w:color="CCCCCC" w:sz="1"/>
              <w:left w:val="single" w:color="CCCCCC" w:sz="1"/>
              <w:bottom w:val="single" w:color="CCCCCC" w:sz="1"/>
              <w:right w:val="single" w:color="CCCCCC" w:sz="1"/>
            </w:tcBorders>
          </w:tcPr>
          <w:p>
            <w:r>
              <w:t xml:space="preserve"/>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1. Soil Sensors (DHT22, NPK, pH, etc.)</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16,000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16,000</w:t>
            </w:r>
          </w:p>
        </w:tc>
      </w:tr>
      <w:tr>
        <w:tc>
          <w:tcPr>
            <w:tcW w:type="dxa" w:w="55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2. Solar Power Supply</w:t>
            </w:r>
          </w:p>
        </w:tc>
        <w:tc>
          <w:tcPr>
            <w:tcW w:type="dxa" w:w="175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center"/>
            </w:pPr>
            <w:r>
              <w:rPr>
                <w:rFonts w:ascii="Arial" w:cs="Arial" w:eastAsia="Arial" w:hAnsi="Arial"/>
                <w:color w:val="444444"/>
                <w:sz w:val="20"/>
                <w:szCs w:val="20"/>
              </w:rPr>
              <w:t xml:space="preserve">4,500</w:t>
            </w:r>
          </w:p>
        </w:tc>
        <w:tc>
          <w:tcPr>
            <w:tcW w:type="dxa" w:w="175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center"/>
            </w:pPr>
            <w:r>
              <w:rPr>
                <w:rFonts w:ascii="Arial" w:cs="Arial" w:eastAsia="Arial" w:hAnsi="Arial"/>
                <w:color w:val="444444"/>
                <w:sz w:val="20"/>
                <w:szCs w:val="20"/>
              </w:rPr>
              <w:t xml:space="preserve">4,500</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3. Microcontroller (ESP32)</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1,500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1,500</w:t>
            </w:r>
          </w:p>
        </w:tc>
      </w:tr>
      <w:tr>
        <w:tc>
          <w:tcPr>
            <w:tcW w:type="dxa" w:w="55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4. Breadboard and Jumping Wires</w:t>
            </w:r>
          </w:p>
        </w:tc>
        <w:tc>
          <w:tcPr>
            <w:tcW w:type="dxa" w:w="175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center"/>
            </w:pPr>
            <w:r>
              <w:rPr>
                <w:rFonts w:ascii="Arial" w:cs="Arial" w:eastAsia="Arial" w:hAnsi="Arial"/>
                <w:color w:val="444444"/>
                <w:sz w:val="20"/>
                <w:szCs w:val="20"/>
              </w:rPr>
              <w:t xml:space="preserve">500</w:t>
            </w:r>
          </w:p>
        </w:tc>
        <w:tc>
          <w:tcPr>
            <w:tcW w:type="dxa" w:w="175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center"/>
            </w:pPr>
            <w:r>
              <w:rPr>
                <w:rFonts w:ascii="Arial" w:cs="Arial" w:eastAsia="Arial" w:hAnsi="Arial"/>
                <w:color w:val="444444"/>
                <w:sz w:val="20"/>
                <w:szCs w:val="20"/>
              </w:rPr>
              <w:t xml:space="preserve">500</w:t>
            </w:r>
          </w:p>
        </w:tc>
      </w:tr>
      <w:tr>
        <w:tc>
          <w:tcPr>
            <w:tcW w:type="dxa" w:w="5526"/>
            <w:gridSpan w:val="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2D6A4F"/>
                <w:sz w:val="20"/>
                <w:szCs w:val="20"/>
              </w:rPr>
              <w:t xml:space="preserve">B. Implementation and Deployment Cost</w:t>
            </w:r>
          </w:p>
        </w:tc>
        <w:tc>
          <w:tcPr>
            <w:tcW w:type="dxa" w:w="1750"/>
            <w:tcBorders>
              <w:top w:val="single" w:color="CCCCCC" w:sz="1"/>
              <w:left w:val="single" w:color="CCCCCC" w:sz="1"/>
              <w:bottom w:val="single" w:color="CCCCCC" w:sz="1"/>
              <w:right w:val="single" w:color="CCCCCC" w:sz="1"/>
            </w:tcBorders>
          </w:tcPr>
          <w:p>
            <w:r>
              <w:t xml:space="preserve"/>
            </w:r>
          </w:p>
        </w:tc>
        <w:tc>
          <w:tcPr>
            <w:tcW w:type="dxa" w:w="1750"/>
            <w:tcBorders>
              <w:top w:val="single" w:color="CCCCCC" w:sz="1"/>
              <w:left w:val="single" w:color="CCCCCC" w:sz="1"/>
              <w:bottom w:val="single" w:color="CCCCCC" w:sz="1"/>
              <w:right w:val="single" w:color="CCCCCC" w:sz="1"/>
            </w:tcBorders>
          </w:tcPr>
          <w:p>
            <w:r>
              <w:t xml:space="preserve"/>
            </w:r>
          </w:p>
        </w:tc>
      </w:tr>
      <w:tr>
        <w:tc>
          <w:tcPr>
            <w:tcW w:type="dxa" w:w="55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1. Cloud Services (Storage and Compute)</w:t>
            </w:r>
          </w:p>
        </w:tc>
        <w:tc>
          <w:tcPr>
            <w:tcW w:type="dxa" w:w="175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center"/>
            </w:pPr>
            <w:r>
              <w:rPr>
                <w:rFonts w:ascii="Arial" w:cs="Arial" w:eastAsia="Arial" w:hAnsi="Arial"/>
                <w:color w:val="444444"/>
                <w:sz w:val="20"/>
                <w:szCs w:val="20"/>
              </w:rPr>
              <w:t xml:space="preserve">2,000</w:t>
            </w:r>
          </w:p>
        </w:tc>
        <w:tc>
          <w:tcPr>
            <w:tcW w:type="dxa" w:w="175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center"/>
            </w:pPr>
            <w:r>
              <w:rPr>
                <w:rFonts w:ascii="Arial" w:cs="Arial" w:eastAsia="Arial" w:hAnsi="Arial"/>
                <w:color w:val="444444"/>
                <w:sz w:val="20"/>
                <w:szCs w:val="20"/>
              </w:rPr>
              <w:t xml:space="preserve">2,000</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2. Discussion with Industry Expert Personnel</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2,000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2,000</w:t>
            </w:r>
          </w:p>
        </w:tc>
      </w:tr>
      <w:tr>
        <w:tc>
          <w:tcPr>
            <w:tcW w:type="dxa" w:w="5526"/>
            <w:gridSpan w:val="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2D6A4F"/>
                <w:sz w:val="20"/>
                <w:szCs w:val="20"/>
              </w:rPr>
              <w:t xml:space="preserve">C. Other Costs</w:t>
            </w:r>
          </w:p>
        </w:tc>
        <w:tc>
          <w:tcPr>
            <w:tcW w:type="dxa" w:w="1750"/>
            <w:tcBorders>
              <w:top w:val="single" w:color="CCCCCC" w:sz="1"/>
              <w:left w:val="single" w:color="CCCCCC" w:sz="1"/>
              <w:bottom w:val="single" w:color="CCCCCC" w:sz="1"/>
              <w:right w:val="single" w:color="CCCCCC" w:sz="1"/>
            </w:tcBorders>
          </w:tcPr>
          <w:p>
            <w:r>
              <w:t xml:space="preserve"/>
            </w:r>
          </w:p>
        </w:tc>
        <w:tc>
          <w:tcPr>
            <w:tcW w:type="dxa" w:w="1750"/>
            <w:tcBorders>
              <w:top w:val="single" w:color="CCCCCC" w:sz="1"/>
              <w:left w:val="single" w:color="CCCCCC" w:sz="1"/>
              <w:bottom w:val="single" w:color="CCCCCC" w:sz="1"/>
              <w:right w:val="single" w:color="CCCCCC" w:sz="1"/>
            </w:tcBorders>
          </w:tcPr>
          <w:p>
            <w:r>
              <w:t xml:space="preserve"/>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1. Literature Review (Email, Internet)</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w:t>
            </w:r>
          </w:p>
        </w:tc>
      </w:tr>
      <w:tr>
        <w:tc>
          <w:tcPr>
            <w:tcW w:type="dxa" w:w="55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2. Group Discussion with Domain Expert</w:t>
            </w:r>
          </w:p>
        </w:tc>
        <w:tc>
          <w:tcPr>
            <w:tcW w:type="dxa" w:w="175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75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3. Report Printing, Copying, and Binding</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1,000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1,000</w:t>
            </w:r>
          </w:p>
        </w:tc>
      </w:tr>
      <w:tr>
        <w:tc>
          <w:tcPr>
            <w:tcW w:type="dxa" w:w="5526"/>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left"/>
            </w:pPr>
            <w:r>
              <w:rPr>
                <w:rFonts w:ascii="Arial" w:cs="Arial" w:eastAsia="Arial" w:hAnsi="Arial"/>
                <w:color w:val="444444"/>
                <w:sz w:val="20"/>
                <w:szCs w:val="20"/>
              </w:rPr>
              <w:t xml:space="preserve">4. Communication (Email, Internet, Telephone)</w:t>
            </w:r>
          </w:p>
        </w:tc>
        <w:tc>
          <w:tcPr>
            <w:tcW w:type="dxa" w:w="175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center"/>
            </w:pPr>
            <w:r>
              <w:rPr>
                <w:rFonts w:ascii="Arial" w:cs="Arial" w:eastAsia="Arial" w:hAnsi="Arial"/>
                <w:color w:val="444444"/>
                <w:sz w:val="20"/>
                <w:szCs w:val="20"/>
              </w:rPr>
              <w:t xml:space="preserve">500</w:t>
            </w:r>
          </w:p>
        </w:tc>
        <w:tc>
          <w:tcPr>
            <w:tcW w:type="dxa" w:w="175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pPr>
              <w:jc w:val="center"/>
            </w:pPr>
            <w:r>
              <w:rPr>
                <w:rFonts w:ascii="Arial" w:cs="Arial" w:eastAsia="Arial" w:hAnsi="Arial"/>
                <w:color w:val="444444"/>
                <w:sz w:val="20"/>
                <w:szCs w:val="20"/>
              </w:rPr>
              <w:t xml:space="preserve">500</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444444"/>
                <w:sz w:val="20"/>
                <w:szCs w:val="20"/>
              </w:rPr>
              <w:t xml:space="preserve">5. Miscellaneous and Transportation</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2,000</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2,000</w:t>
            </w:r>
          </w:p>
        </w:tc>
      </w:tr>
      <w:tr>
        <w:tc>
          <w:tcPr>
            <w:tcW w:type="dxa" w:w="5526"/>
            <w:gridSpan w:val="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2D6A4F"/>
                <w:sz w:val="20"/>
                <w:szCs w:val="20"/>
              </w:rPr>
              <w:t xml:space="preserve">Total (NPR): Thirty Thousand Only</w:t>
            </w:r>
          </w:p>
        </w:tc>
        <w:tc>
          <w:tcPr>
            <w:tcW w:type="dxa" w:w="1750"/>
            <w:tcBorders>
              <w:top w:val="single" w:color="CCCCCC" w:sz="1"/>
              <w:left w:val="single" w:color="CCCCCC" w:sz="1"/>
              <w:bottom w:val="single" w:color="CCCCCC" w:sz="1"/>
              <w:right w:val="single" w:color="CCCCCC" w:sz="1"/>
            </w:tcBorders>
          </w:tcPr>
          <w:p>
            <w:r>
              <w:t xml:space="preserve"/>
            </w:r>
          </w:p>
        </w:tc>
        <w:tc>
          <w:tcPr>
            <w:tcW w:type="dxa" w:w="1750"/>
            <w:tcBorders>
              <w:top w:val="single" w:color="CCCCCC" w:sz="1"/>
              <w:left w:val="single" w:color="CCCCCC" w:sz="1"/>
              <w:bottom w:val="single" w:color="CCCCCC" w:sz="1"/>
              <w:right w:val="single" w:color="CCCCCC" w:sz="1"/>
            </w:tcBorders>
          </w:tcPr>
          <w:p>
            <w:r>
              <w:t xml:space="preserve"/>
            </w:r>
          </w:p>
        </w:tc>
      </w:tr>
    </w:tbl>
    <w:p>
      <w:r>
        <w:br w:type="page"/>
      </w:r>
    </w:p>
    <w:p>
      <w:pPr>
        <w:pStyle w:val="Heading1"/>
        <w:pBdr>
          <w:bottom w:val="single" w:color="2D6A4F" w:sz="6" w:space="4"/>
        </w:pBdr>
        <w:spacing w:after="180" w:before="360"/>
      </w:pPr>
      <w:r>
        <w:rPr>
          <w:rFonts w:ascii="Arial" w:cs="Arial" w:eastAsia="Arial" w:hAnsi="Arial"/>
          <w:b/>
          <w:bCs/>
          <w:color w:val="2D6A4F"/>
          <w:sz w:val="32"/>
          <w:szCs w:val="32"/>
        </w:rPr>
        <w:t xml:space="preserve">References</w:t>
      </w:r>
    </w:p>
    <w:p>
      <w:pPr>
        <w:spacing w:after="40" w:before="0"/>
      </w:pPr>
      <w:r>
        <w:t xml:space="preserve"/>
      </w:r>
    </w:p>
    <w:p>
      <w:pPr>
        <w:spacing w:after="60" w:before="60" w:line="320" w:lineRule="auto"/>
        <w:ind w:left="720" w:hanging="720"/>
        <w:jc w:val="both"/>
      </w:pPr>
      <w:r>
        <w:rPr>
          <w:rFonts w:ascii="Arial" w:cs="Arial" w:eastAsia="Arial" w:hAnsi="Arial"/>
          <w:color w:val="444444"/>
          <w:sz w:val="20"/>
          <w:szCs w:val="20"/>
        </w:rPr>
        <w:t xml:space="preserve">[1] E. Alreshidi, "Smart Sustainable Agriculture (SSA) Solution Underpinned by Internet of Things (IoT) and Artificial Intelligence (AI)," Int. J. Adv. Comput. Sci. Appl., vol. 10, no. 5, pp. 93–102, 2019.</w:t>
      </w:r>
    </w:p>
    <w:p>
      <w:pPr>
        <w:spacing w:after="60" w:before="60" w:line="320" w:lineRule="auto"/>
        <w:ind w:left="720" w:hanging="720"/>
        <w:jc w:val="both"/>
      </w:pPr>
      <w:r>
        <w:rPr>
          <w:rFonts w:ascii="Arial" w:cs="Arial" w:eastAsia="Arial" w:hAnsi="Arial"/>
          <w:color w:val="444444"/>
          <w:sz w:val="20"/>
          <w:szCs w:val="20"/>
        </w:rPr>
        <w:t xml:space="preserve">[2] V. K. Quy, N. V. Hau, D. V. Anh, N. M. Quy, N. T. Ban, S. Lanza, G. Randazzo, and A. Muzirafuti, "IoT-Enabled Smart Agriculture: Architecture, Applications, and Challenges," Appl. Sci., vol. 12, no. 7, p. 3396, 2022, doi: 10.3390/app12073396.</w:t>
      </w:r>
    </w:p>
    <w:p>
      <w:pPr>
        <w:spacing w:after="60" w:before="60" w:line="320" w:lineRule="auto"/>
        <w:ind w:left="720" w:hanging="720"/>
        <w:jc w:val="both"/>
      </w:pPr>
      <w:r>
        <w:rPr>
          <w:rFonts w:ascii="Arial" w:cs="Arial" w:eastAsia="Arial" w:hAnsi="Arial"/>
          <w:color w:val="444444"/>
          <w:sz w:val="20"/>
          <w:szCs w:val="20"/>
        </w:rPr>
        <w:t xml:space="preserve">[3] "Optimizing Agricultural Efficiency: A Fusion of IoT, AI, Cloud Computing, and Wireless Sensor Network," Preprint, SSRN Electron. J., 2024, doi: 10.2139/ssrn.4789232.</w:t>
      </w:r>
    </w:p>
    <w:p>
      <w:pPr>
        <w:spacing w:after="60" w:before="60" w:line="320" w:lineRule="auto"/>
        <w:ind w:left="720" w:hanging="720"/>
        <w:jc w:val="both"/>
      </w:pPr>
      <w:r>
        <w:rPr>
          <w:rFonts w:ascii="Arial" w:cs="Arial" w:eastAsia="Arial" w:hAnsi="Arial"/>
          <w:color w:val="444444"/>
          <w:sz w:val="20"/>
          <w:szCs w:val="20"/>
        </w:rPr>
        <w:t xml:space="preserve">[4] A. S. Ibrahim et al., "AI-IoT Based Smart Agriculture Pivot for Plant Diseases Detection and Treatment," Sci. Rep., vol. 15, no. 1, p. 16576, Dec. 2025, doi: 10.1038/s41598-025-98454-6.</w:t>
      </w:r>
    </w:p>
    <w:p>
      <w:pPr>
        <w:spacing w:after="60" w:before="60" w:line="320" w:lineRule="auto"/>
        <w:ind w:left="720" w:hanging="720"/>
        <w:jc w:val="both"/>
      </w:pPr>
      <w:r>
        <w:rPr>
          <w:rFonts w:ascii="Arial" w:cs="Arial" w:eastAsia="Arial" w:hAnsi="Arial"/>
          <w:color w:val="444444"/>
          <w:sz w:val="20"/>
          <w:szCs w:val="20"/>
        </w:rPr>
        <w:t xml:space="preserve">[5] Hossain, I., et al. (2022). IoT Based Smart Irrigation System on Renewable Energy. International Journal of Innovative Science and Research Technology, 7(6), 53–59.</w:t>
      </w:r>
    </w:p>
    <w:p>
      <w:pPr>
        <w:spacing w:after="60" w:before="60" w:line="320" w:lineRule="auto"/>
        <w:ind w:left="720" w:hanging="720"/>
        <w:jc w:val="both"/>
      </w:pPr>
      <w:r>
        <w:rPr>
          <w:rFonts w:ascii="Arial" w:cs="Arial" w:eastAsia="Arial" w:hAnsi="Arial"/>
          <w:color w:val="444444"/>
          <w:sz w:val="20"/>
          <w:szCs w:val="20"/>
        </w:rPr>
        <w:t xml:space="preserve">[6] Kim, J., et al. (2023). Real-Time Smart Farming Using IoT and AI Models. Agriculture, 15(5), 554. https://doi.org/10.3390/agriculture15050554</w:t>
      </w:r>
    </w:p>
    <w:p>
      <w:pPr>
        <w:spacing w:after="60" w:before="60" w:line="320" w:lineRule="auto"/>
        <w:ind w:left="720" w:hanging="720"/>
        <w:jc w:val="both"/>
      </w:pPr>
      <w:r>
        <w:rPr>
          <w:rFonts w:ascii="Arial" w:cs="Arial" w:eastAsia="Arial" w:hAnsi="Arial"/>
          <w:color w:val="444444"/>
          <w:sz w:val="20"/>
          <w:szCs w:val="20"/>
        </w:rPr>
        <w:t xml:space="preserve">[7] Reddy, K. P., &amp; Ghosh, A. (2021). Performance Analysis of IoT Based Smart Agriculture Systems. Wireless Personal Communications, 120, 2569–2591. https://doi.org/10.1007/s11277-021-09462-4</w:t>
      </w:r>
    </w:p>
    <w:p>
      <w:pPr>
        <w:spacing w:after="60" w:before="60" w:line="320" w:lineRule="auto"/>
        <w:ind w:left="720" w:hanging="720"/>
        <w:jc w:val="both"/>
      </w:pPr>
      <w:r>
        <w:rPr>
          <w:rFonts w:ascii="Arial" w:cs="Arial" w:eastAsia="Arial" w:hAnsi="Arial"/>
          <w:color w:val="444444"/>
          <w:sz w:val="20"/>
          <w:szCs w:val="20"/>
        </w:rPr>
        <w:t xml:space="preserve">[8] Zhang, X., et al. (2025). Edge and Cloud Enabled Smart Farming Framework. IEEE Access. https://doi.org/10.1109/ACCESS.2025.3594162</w:t>
      </w:r>
    </w:p>
    <w:p>
      <w:pPr>
        <w:spacing w:after="60" w:before="60" w:line="320" w:lineRule="auto"/>
        <w:ind w:left="720" w:hanging="720"/>
        <w:jc w:val="both"/>
      </w:pPr>
      <w:r>
        <w:rPr>
          <w:rFonts w:ascii="Arial" w:cs="Arial" w:eastAsia="Arial" w:hAnsi="Arial"/>
          <w:color w:val="444444"/>
          <w:sz w:val="20"/>
          <w:szCs w:val="20"/>
        </w:rPr>
        <w:t xml:space="preserve">[9] Liu, Y., &amp; Singh, P. (2024). Drivers and Barriers to IoT Adoption in Agriculture. Heliyon, e25112. https://doi.org/10.1016/j.heliyon.2024.e25112</w:t>
      </w:r>
    </w:p>
    <w:p>
      <w:pPr>
        <w:spacing w:after="60" w:before="60" w:line="320" w:lineRule="auto"/>
        <w:ind w:left="720" w:hanging="720"/>
        <w:jc w:val="both"/>
      </w:pPr>
      <w:r>
        <w:rPr>
          <w:rFonts w:ascii="Arial" w:cs="Arial" w:eastAsia="Arial" w:hAnsi="Arial"/>
          <w:color w:val="444444"/>
          <w:sz w:val="20"/>
          <w:szCs w:val="20"/>
        </w:rPr>
        <w:t xml:space="preserve">[10] Ahmed, S., &amp; Khan, R. (2021). Machine Learning Approaches for Precision Agriculture. IEEE Access. https://doi.org/10.1109/ACCESS.2021.3138160</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D6A4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2026-05-09T01:45:23.652Z</dcterms:created>
  <dcterms:modified xsi:type="dcterms:W3CDTF">2026-05-09T01:45:23.652Z</dcterms:modified>
</cp:coreProperties>
</file>

<file path=docProps/custom.xml><?xml version="1.0" encoding="utf-8"?>
<Properties xmlns="http://schemas.openxmlformats.org/officeDocument/2006/custom-properties" xmlns:vt="http://schemas.openxmlformats.org/officeDocument/2006/docPropsVTypes"/>
</file>