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3709DD">
        <w:rPr>
          <w:sz w:val="24"/>
          <w:szCs w:val="24"/>
        </w:rPr>
        <w:t>AC - (Not ACCess)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lastRenderedPageBreak/>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Pr="00C86E0D" w:rsidRDefault="00135A0A" w:rsidP="00C86E0D">
      <w:pPr>
        <w:pStyle w:val="Akapitzlist"/>
        <w:numPr>
          <w:ilvl w:val="0"/>
          <w:numId w:val="4"/>
        </w:numPr>
        <w:spacing w:after="0"/>
        <w:rPr>
          <w:sz w:val="24"/>
          <w:szCs w:val="24"/>
        </w:rPr>
      </w:pPr>
      <w:r>
        <w:rPr>
          <w:sz w:val="24"/>
          <w:szCs w:val="24"/>
        </w:rPr>
        <w:t>HELLO 554343234 - użytkownik o numerze identyfikacyjnym 554343234 informuje serwer o tym że chce się podłączyć do serwera.</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084D59" w:rsidRDefault="00084D59" w:rsidP="00AD6C39">
      <w:pPr>
        <w:pStyle w:val="Akapitzlist"/>
        <w:numPr>
          <w:ilvl w:val="0"/>
          <w:numId w:val="7"/>
        </w:numPr>
        <w:spacing w:after="0"/>
        <w:rPr>
          <w:sz w:val="24"/>
          <w:szCs w:val="24"/>
        </w:rPr>
      </w:pPr>
      <w:r>
        <w:rPr>
          <w:sz w:val="24"/>
          <w:szCs w:val="24"/>
        </w:rPr>
        <w:t>sesja rozłączeniowa nadawcy z odbiorcą</w:t>
      </w:r>
    </w:p>
    <w:p w:rsidR="00CF499B" w:rsidRDefault="00CF499B" w:rsidP="00135A0A">
      <w:pPr>
        <w:spacing w:after="0"/>
        <w:rPr>
          <w:sz w:val="24"/>
          <w:szCs w:val="24"/>
        </w:rPr>
      </w:pPr>
    </w:p>
    <w:p w:rsidR="00CF499B" w:rsidRDefault="00CF499B" w:rsidP="00135A0A">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lastRenderedPageBreak/>
        <w:drawing>
          <wp:inline distT="0" distB="0" distL="0" distR="0">
            <wp:extent cx="5760720" cy="540472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8" cstate="print"/>
                    <a:srcRect/>
                    <a:stretch>
                      <a:fillRect/>
                    </a:stretch>
                  </pic:blipFill>
                  <pic:spPr bwMode="auto">
                    <a:xfrm>
                      <a:off x="0" y="0"/>
                      <a:ext cx="5760720" cy="5404720"/>
                    </a:xfrm>
                    <a:prstGeom prst="rect">
                      <a:avLst/>
                    </a:prstGeom>
                    <a:noFill/>
                    <a:ln w="9525">
                      <a:noFill/>
                      <a:miter lim="800000"/>
                      <a:headEnd/>
                      <a:tailEnd/>
                    </a:ln>
                  </pic:spPr>
                </pic:pic>
              </a:graphicData>
            </a:graphic>
          </wp:inline>
        </w:drawing>
      </w:r>
    </w:p>
    <w:p w:rsidR="00F2279F" w:rsidRDefault="00B97F7A" w:rsidP="00F2279F">
      <w:pPr>
        <w:spacing w:after="0"/>
        <w:jc w:val="center"/>
        <w:rPr>
          <w:i/>
          <w:sz w:val="16"/>
          <w:szCs w:val="16"/>
        </w:rPr>
      </w:pPr>
      <w:r>
        <w:rPr>
          <w:i/>
          <w:sz w:val="16"/>
          <w:szCs w:val="16"/>
        </w:rPr>
        <w:t>il.3</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lastRenderedPageBreak/>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9"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B97F7A" w:rsidP="002A3B70">
      <w:pPr>
        <w:spacing w:after="0"/>
        <w:jc w:val="center"/>
        <w:rPr>
          <w:i/>
          <w:sz w:val="16"/>
          <w:szCs w:val="16"/>
        </w:rPr>
      </w:pPr>
      <w:r>
        <w:rPr>
          <w:i/>
          <w:sz w:val="16"/>
          <w:szCs w:val="16"/>
        </w:rPr>
        <w:t>il4</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A11299" w:rsidRDefault="00A11299" w:rsidP="00B97F7A">
      <w:pPr>
        <w:spacing w:after="0"/>
        <w:jc w:val="center"/>
        <w:rPr>
          <w:sz w:val="24"/>
          <w:szCs w:val="24"/>
        </w:rPr>
      </w:pPr>
    </w:p>
    <w:p w:rsidR="00F715B1" w:rsidRDefault="00F715B1" w:rsidP="00F715B1">
      <w:pPr>
        <w:spacing w:after="0"/>
        <w:rPr>
          <w:b/>
          <w:sz w:val="36"/>
          <w:szCs w:val="36"/>
        </w:rPr>
      </w:pPr>
      <w:r>
        <w:rPr>
          <w:b/>
          <w:sz w:val="36"/>
          <w:szCs w:val="36"/>
        </w:rPr>
        <w:lastRenderedPageBreak/>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lastRenderedPageBreak/>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pl-PL"/>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0"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A84553" w:rsidP="00A84553">
      <w:pPr>
        <w:spacing w:after="0"/>
        <w:jc w:val="center"/>
        <w:rPr>
          <w:i/>
          <w:sz w:val="16"/>
          <w:szCs w:val="16"/>
        </w:rPr>
      </w:pPr>
      <w:r>
        <w:rPr>
          <w:i/>
          <w:sz w:val="16"/>
          <w:szCs w:val="16"/>
        </w:rPr>
        <w:t>il.2: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pl-PL"/>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1"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lastRenderedPageBreak/>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pl-PL"/>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2"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6227D4" w:rsidRDefault="006227D4" w:rsidP="00647871">
      <w:pPr>
        <w:spacing w:after="0"/>
        <w:rPr>
          <w:sz w:val="24"/>
          <w:szCs w:val="24"/>
        </w:rPr>
      </w:pPr>
    </w:p>
    <w:p w:rsidR="005D3D38" w:rsidRPr="006227D4" w:rsidRDefault="005D3D38" w:rsidP="00647871">
      <w:pPr>
        <w:spacing w:after="0"/>
        <w:rPr>
          <w:sz w:val="36"/>
          <w:szCs w:val="36"/>
        </w:rPr>
      </w:pPr>
      <w:r w:rsidRPr="005D3D38">
        <w:rPr>
          <w:b/>
          <w:sz w:val="36"/>
          <w:szCs w:val="36"/>
        </w:rPr>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765" w:rsidRDefault="00CF3765" w:rsidP="00F2279F">
      <w:pPr>
        <w:spacing w:after="0" w:line="240" w:lineRule="auto"/>
      </w:pPr>
      <w:r>
        <w:separator/>
      </w:r>
    </w:p>
  </w:endnote>
  <w:endnote w:type="continuationSeparator" w:id="0">
    <w:p w:rsidR="00CF3765" w:rsidRDefault="00CF3765"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765" w:rsidRDefault="00CF3765" w:rsidP="00F2279F">
      <w:pPr>
        <w:spacing w:after="0" w:line="240" w:lineRule="auto"/>
      </w:pPr>
      <w:r>
        <w:separator/>
      </w:r>
    </w:p>
  </w:footnote>
  <w:footnote w:type="continuationSeparator" w:id="0">
    <w:p w:rsidR="00CF3765" w:rsidRDefault="00CF3765"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5A0A"/>
    <w:rsid w:val="00186599"/>
    <w:rsid w:val="00217F3A"/>
    <w:rsid w:val="00230927"/>
    <w:rsid w:val="00281F9F"/>
    <w:rsid w:val="002A3B70"/>
    <w:rsid w:val="003003B6"/>
    <w:rsid w:val="00322A94"/>
    <w:rsid w:val="003709DD"/>
    <w:rsid w:val="00374655"/>
    <w:rsid w:val="00383972"/>
    <w:rsid w:val="003B0070"/>
    <w:rsid w:val="003D520B"/>
    <w:rsid w:val="004C3E35"/>
    <w:rsid w:val="004E6FD1"/>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A39C0"/>
    <w:rsid w:val="008E201B"/>
    <w:rsid w:val="009942B9"/>
    <w:rsid w:val="00A11299"/>
    <w:rsid w:val="00A17538"/>
    <w:rsid w:val="00A232EA"/>
    <w:rsid w:val="00A57ADC"/>
    <w:rsid w:val="00A84553"/>
    <w:rsid w:val="00AA3F2A"/>
    <w:rsid w:val="00AD6C39"/>
    <w:rsid w:val="00B61652"/>
    <w:rsid w:val="00B97F7A"/>
    <w:rsid w:val="00BE737E"/>
    <w:rsid w:val="00C86E0D"/>
    <w:rsid w:val="00CF27DB"/>
    <w:rsid w:val="00CF3765"/>
    <w:rsid w:val="00CF499B"/>
    <w:rsid w:val="00D44F5E"/>
    <w:rsid w:val="00F2279F"/>
    <w:rsid w:val="00F239A9"/>
    <w:rsid w:val="00F715B1"/>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12</Pages>
  <Words>2385</Words>
  <Characters>14314</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17</cp:revision>
  <dcterms:created xsi:type="dcterms:W3CDTF">2015-03-18T13:20:00Z</dcterms:created>
  <dcterms:modified xsi:type="dcterms:W3CDTF">2015-04-01T22:27:00Z</dcterms:modified>
</cp:coreProperties>
</file>