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Pr="00CF499B" w:rsidRDefault="00CF499B"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Pr="00AB7325"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lastRenderedPageBreak/>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t xml:space="preserve">HELLO </w:t>
      </w:r>
      <w:r w:rsidR="002329C0">
        <w:rPr>
          <w:sz w:val="24"/>
          <w:szCs w:val="24"/>
        </w:rPr>
        <w:t xml:space="preserve">kamil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"kamil"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jaś 123456789 - Klient wysyła żądanie do serwera w celu dodania nowego użytkownika o </w:t>
      </w:r>
      <w:r w:rsidR="00513BA2">
        <w:rPr>
          <w:sz w:val="24"/>
          <w:szCs w:val="24"/>
        </w:rPr>
        <w:t>imieniu "jaś"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pl-PL"/>
        </w:rPr>
        <w:lastRenderedPageBreak/>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8"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pl-PL"/>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9"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pl-PL"/>
        </w:rPr>
        <w:lastRenderedPageBreak/>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0"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Protokół ten podobnie jak protokół sygnalizacyjny będzie korzystał z warstwy protokołu TCP ze względu na fakt że dane będą przesyłane cylicznie.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lastRenderedPageBreak/>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pl-PL"/>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1"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pl-PL"/>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2"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pl-PL"/>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3"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 xml:space="preserve">prowadzeniem rozmowy bez możliwości działania protokołu sygnalizacyjnego. W praktyce </w:t>
      </w:r>
      <w:r w:rsidR="00073681">
        <w:rPr>
          <w:sz w:val="24"/>
          <w:szCs w:val="24"/>
        </w:rPr>
        <w:lastRenderedPageBreak/>
        <w:t>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AD6C39" w:rsidRDefault="00AD6C39" w:rsidP="00647871">
      <w:pPr>
        <w:spacing w:after="0"/>
        <w:rPr>
          <w:sz w:val="24"/>
          <w:szCs w:val="24"/>
        </w:rPr>
      </w:pPr>
    </w:p>
    <w:p w:rsidR="006227D4" w:rsidRDefault="006227D4" w:rsidP="00647871">
      <w:pPr>
        <w:spacing w:after="0"/>
        <w:rPr>
          <w:sz w:val="24"/>
          <w:szCs w:val="24"/>
        </w:rPr>
      </w:pPr>
    </w:p>
    <w:p w:rsidR="005D3D38" w:rsidRPr="006227D4" w:rsidRDefault="005D3D38" w:rsidP="00647871">
      <w:pPr>
        <w:spacing w:after="0"/>
        <w:rPr>
          <w:sz w:val="36"/>
          <w:szCs w:val="36"/>
        </w:rPr>
      </w:pPr>
      <w:r w:rsidRPr="005D3D38">
        <w:rPr>
          <w:b/>
          <w:sz w:val="36"/>
          <w:szCs w:val="36"/>
        </w:rPr>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lastRenderedPageBreak/>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227D4" w:rsidRDefault="006227D4" w:rsidP="00647871">
      <w:pPr>
        <w:spacing w:after="0"/>
        <w:rPr>
          <w:b/>
          <w:sz w:val="36"/>
          <w:szCs w:val="36"/>
        </w:rPr>
      </w:pPr>
    </w:p>
    <w:p w:rsidR="006227D4" w:rsidRDefault="006227D4" w:rsidP="00647871">
      <w:pPr>
        <w:spacing w:after="0"/>
        <w:rPr>
          <w:b/>
          <w:sz w:val="36"/>
          <w:szCs w:val="36"/>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Visual Paradigm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r w:rsidRPr="00A17538">
        <w:rPr>
          <w:b/>
          <w:sz w:val="24"/>
          <w:szCs w:val="24"/>
        </w:rPr>
        <w:t>Github</w:t>
      </w:r>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Debian 7.6 Wheezy, posiadający publiczny adres IP</w:t>
      </w:r>
      <w:r w:rsidR="00A17538">
        <w:rPr>
          <w:sz w:val="24"/>
          <w:szCs w:val="24"/>
        </w:rPr>
        <w:t xml:space="preserve"> oraz własną domenę</w:t>
      </w:r>
      <w:r>
        <w:rPr>
          <w:sz w:val="24"/>
          <w:szCs w:val="24"/>
        </w:rPr>
        <w:t>. Na tym komputerze będzie działał serwer pełniący rolę centali oraz działała będzie Baza danych.</w:t>
      </w:r>
    </w:p>
    <w:p w:rsidR="006273E2" w:rsidRDefault="006273E2" w:rsidP="006273E2">
      <w:pPr>
        <w:pStyle w:val="Akapitzlist"/>
        <w:numPr>
          <w:ilvl w:val="0"/>
          <w:numId w:val="5"/>
        </w:numPr>
        <w:spacing w:after="0"/>
        <w:rPr>
          <w:sz w:val="24"/>
          <w:szCs w:val="24"/>
        </w:rPr>
      </w:pPr>
      <w:r w:rsidRPr="00A17538">
        <w:rPr>
          <w:b/>
          <w:sz w:val="24"/>
          <w:szCs w:val="24"/>
        </w:rPr>
        <w:t>MySQL</w:t>
      </w:r>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r>
        <w:rPr>
          <w:b/>
          <w:sz w:val="24"/>
          <w:szCs w:val="24"/>
        </w:rPr>
        <w:t xml:space="preserve">PhpMyAdmin </w:t>
      </w:r>
      <w:r>
        <w:rPr>
          <w:sz w:val="24"/>
          <w:szCs w:val="24"/>
        </w:rPr>
        <w:t xml:space="preserve"> - Narzędzie służące do zarządzania bazą danych MySQL,</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Srodowisko programistyczne na którym zaimplementowana zostanie aplikacja klienta</w:t>
      </w:r>
    </w:p>
    <w:p w:rsidR="00A17538" w:rsidRDefault="00A17538" w:rsidP="006273E2">
      <w:pPr>
        <w:pStyle w:val="Akapitzlist"/>
        <w:numPr>
          <w:ilvl w:val="0"/>
          <w:numId w:val="5"/>
        </w:numPr>
        <w:spacing w:after="0"/>
        <w:rPr>
          <w:sz w:val="24"/>
          <w:szCs w:val="24"/>
        </w:rPr>
      </w:pPr>
      <w:r w:rsidRPr="00A17538">
        <w:rPr>
          <w:b/>
          <w:sz w:val="24"/>
          <w:szCs w:val="24"/>
        </w:rPr>
        <w:t>Eclipse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lastRenderedPageBreak/>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DD5" w:rsidRDefault="00EC5DD5" w:rsidP="00F2279F">
      <w:pPr>
        <w:spacing w:after="0" w:line="240" w:lineRule="auto"/>
      </w:pPr>
      <w:r>
        <w:separator/>
      </w:r>
    </w:p>
  </w:endnote>
  <w:endnote w:type="continuationSeparator" w:id="0">
    <w:p w:rsidR="00EC5DD5" w:rsidRDefault="00EC5DD5"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DD5" w:rsidRDefault="00EC5DD5" w:rsidP="00F2279F">
      <w:pPr>
        <w:spacing w:after="0" w:line="240" w:lineRule="auto"/>
      </w:pPr>
      <w:r>
        <w:separator/>
      </w:r>
    </w:p>
  </w:footnote>
  <w:footnote w:type="continuationSeparator" w:id="0">
    <w:p w:rsidR="00EC5DD5" w:rsidRDefault="00EC5DD5"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5A0A"/>
    <w:rsid w:val="001502D1"/>
    <w:rsid w:val="00186599"/>
    <w:rsid w:val="00217F3A"/>
    <w:rsid w:val="00230927"/>
    <w:rsid w:val="002329C0"/>
    <w:rsid w:val="00281F9F"/>
    <w:rsid w:val="002A3B70"/>
    <w:rsid w:val="003003B6"/>
    <w:rsid w:val="00322A94"/>
    <w:rsid w:val="003709DD"/>
    <w:rsid w:val="00374655"/>
    <w:rsid w:val="00383972"/>
    <w:rsid w:val="003B0070"/>
    <w:rsid w:val="003D520B"/>
    <w:rsid w:val="00477167"/>
    <w:rsid w:val="004C3E35"/>
    <w:rsid w:val="004E6FD1"/>
    <w:rsid w:val="00513BA2"/>
    <w:rsid w:val="00531370"/>
    <w:rsid w:val="00564A60"/>
    <w:rsid w:val="0057547A"/>
    <w:rsid w:val="005D3D38"/>
    <w:rsid w:val="005E3E21"/>
    <w:rsid w:val="006227D4"/>
    <w:rsid w:val="006273E2"/>
    <w:rsid w:val="00631603"/>
    <w:rsid w:val="006370D5"/>
    <w:rsid w:val="00647871"/>
    <w:rsid w:val="0068710D"/>
    <w:rsid w:val="006D2C5E"/>
    <w:rsid w:val="006F331D"/>
    <w:rsid w:val="007D5D09"/>
    <w:rsid w:val="00812D6B"/>
    <w:rsid w:val="008A39C0"/>
    <w:rsid w:val="008B1B8B"/>
    <w:rsid w:val="008E201B"/>
    <w:rsid w:val="009942B9"/>
    <w:rsid w:val="009C22F0"/>
    <w:rsid w:val="00A11299"/>
    <w:rsid w:val="00A17538"/>
    <w:rsid w:val="00A232EA"/>
    <w:rsid w:val="00A57ADC"/>
    <w:rsid w:val="00A731CD"/>
    <w:rsid w:val="00A84553"/>
    <w:rsid w:val="00AA3F2A"/>
    <w:rsid w:val="00AB7325"/>
    <w:rsid w:val="00AD6C39"/>
    <w:rsid w:val="00B61652"/>
    <w:rsid w:val="00B70F5F"/>
    <w:rsid w:val="00B97F7A"/>
    <w:rsid w:val="00BE737E"/>
    <w:rsid w:val="00C86E0D"/>
    <w:rsid w:val="00CF27DB"/>
    <w:rsid w:val="00CF3765"/>
    <w:rsid w:val="00CF499B"/>
    <w:rsid w:val="00D44F5E"/>
    <w:rsid w:val="00D8416F"/>
    <w:rsid w:val="00D844AF"/>
    <w:rsid w:val="00D9608F"/>
    <w:rsid w:val="00DD116A"/>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13</Pages>
  <Words>2561</Words>
  <Characters>15367</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29</cp:revision>
  <dcterms:created xsi:type="dcterms:W3CDTF">2015-03-18T13:20:00Z</dcterms:created>
  <dcterms:modified xsi:type="dcterms:W3CDTF">2015-04-12T18:14:00Z</dcterms:modified>
</cp:coreProperties>
</file>