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1.png" ContentType="image/png"/>
  <Override PartName="/word/media/rId34.png" ContentType="image/png"/>
  <Override PartName="/word/media/rId35.png" ContentType="image/png"/>
  <Override PartName="/word/media/rId32.png" ContentType="image/png"/>
  <Override PartName="/word/media/rId33.png" ContentType="image/png"/>
  <Override PartName="/word/media/rId29.png" ContentType="image/png"/>
  <Override PartName="/word/media/rId30.png" ContentType="image/png"/>
  <Override PartName="/word/media/image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ular"/>
      </w:pPr>
      <w:r>
        <w:t xml:space="preserve">Figures</w:t>
      </w:r>
      <w:r>
        <w:t xml:space="preserve"> </w:t>
      </w:r>
      <w:r>
        <w:t xml:space="preserve">for</w:t>
      </w:r>
      <w:r>
        <w:t xml:space="preserve"> </w:t>
      </w:r>
      <w:r>
        <w:t xml:space="preserve">SAPFLUXNET</w:t>
      </w:r>
      <w:r>
        <w:t xml:space="preserve"> </w:t>
      </w:r>
      <w:r>
        <w:t xml:space="preserve">data</w:t>
      </w:r>
      <w:r>
        <w:t xml:space="preserve"> </w:t>
      </w:r>
      <w:r>
        <w:t xml:space="preserve">paper</w:t>
      </w:r>
    </w:p>
    <w:p>
      <w:pPr>
        <w:pStyle w:val="Author"/>
      </w:pPr>
      <w:r>
        <w:t xml:space="preserve">R.</w:t>
      </w:r>
      <w:r>
        <w:t xml:space="preserve"> </w:t>
      </w:r>
      <w:r>
        <w:t xml:space="preserve">Poyatos</w:t>
      </w:r>
    </w:p>
    <w:p>
      <w:pPr>
        <w:pStyle w:val="Date"/>
      </w:pPr>
      <w:r>
        <w:t xml:space="preserve">27/12/2019</w:t>
      </w:r>
    </w:p>
    <w:p>
      <w:pPr>
        <w:pStyle w:val="Ttulo2"/>
      </w:pPr>
      <w:bookmarkStart w:id="20" w:name="figures"/>
      <w:r>
        <w:t xml:space="preserve">Figures</w:t>
      </w:r>
      <w:bookmarkEnd w:id="20"/>
    </w:p>
    <w:p>
      <w:pPr>
        <w:pStyle w:val="Ttulo3"/>
      </w:pPr>
      <w:bookmarkStart w:id="21" w:name="figure-1."/>
      <w:r>
        <w:t xml:space="preserve">Figure 1.</w:t>
      </w:r>
      <w:bookmarkEnd w:id="21"/>
    </w:p>
    <w:p>
      <w:pPr>
        <w:pStyle w:val="Compact"/>
        <w:numPr>
          <w:numId w:val="1001"/>
          <w:ilvl w:val="0"/>
        </w:numPr>
      </w:pPr>
      <w:r>
        <w:t xml:space="preserve">Data workflow</w:t>
      </w:r>
    </w:p>
    <w:p>
      <w:pPr>
        <w:pStyle w:val="Ttulo3"/>
      </w:pPr>
      <w:bookmarkStart w:id="22" w:name="figure-2"/>
      <w:r>
        <w:t xml:space="preserve">Figure 2</w:t>
      </w:r>
      <w:bookmarkEnd w:id="22"/>
    </w:p>
    <w:p>
      <w:pPr>
        <w:pStyle w:val="Compact"/>
        <w:numPr>
          <w:numId w:val="1002"/>
          <w:ilvl w:val="0"/>
        </w:numPr>
      </w:pPr>
      <w:r>
        <w:t xml:space="preserve">This version of the figures uses a low quality version of the base maps because</w:t>
      </w:r>
      <w:r>
        <w:t xml:space="preserve"> </w:t>
      </w:r>
      <w:r>
        <w:t xml:space="preserve">it’s faster to run this way. Inaccuracies in the map result from rasterisation.</w:t>
      </w:r>
    </w:p>
    <w:p>
      <w:pPr>
        <w:pStyle w:val="Compact"/>
        <w:numPr>
          <w:numId w:val="1002"/>
          <w:ilvl w:val="0"/>
        </w:numPr>
      </w:pPr>
      <w:r>
        <w:t xml:space="preserve">I include two versions of the figure with the maps, one with numeric codes and</w:t>
      </w:r>
      <w:r>
        <w:t xml:space="preserve"> </w:t>
      </w:r>
      <w:r>
        <w:t xml:space="preserve">another without them. Need to improve the layout and/or tweak the parameters controlling</w:t>
      </w:r>
      <w:r>
        <w:t xml:space="preserve"> </w:t>
      </w:r>
      <w:r>
        <w:t xml:space="preserve">the position of the labels to get an optimal figure.</w:t>
      </w:r>
    </w:p>
    <w:p>
      <w:pPr>
        <w:pStyle w:val="Compact"/>
        <w:numPr>
          <w:numId w:val="1002"/>
          <w:ilvl w:val="0"/>
        </w:numPr>
      </w:pPr>
      <w:r>
        <w:t xml:space="preserve">TODO: use paler colour for forest area, see if I can display IGBP code (EBF, ENF, etc)</w:t>
      </w:r>
    </w:p>
    <w:p>
      <w:pPr>
        <w:pStyle w:val="Ttulo3"/>
      </w:pPr>
      <w:bookmarkStart w:id="23" w:name="figure-3.-biomes."/>
      <w:r>
        <w:t xml:space="preserve">Figure 3. Biomes.</w:t>
      </w:r>
      <w:bookmarkEnd w:id="23"/>
    </w:p>
    <w:p>
      <w:pPr>
        <w:pStyle w:val="Compact"/>
        <w:numPr>
          <w:numId w:val="1003"/>
          <w:ilvl w:val="0"/>
        </w:numPr>
      </w:pPr>
      <w:r>
        <w:t xml:space="preserve">This figure is OK.</w:t>
      </w:r>
    </w:p>
    <w:p>
      <w:pPr>
        <w:pStyle w:val="Ttulo3"/>
      </w:pPr>
      <w:bookmarkStart w:id="24" w:name="figure-4.-taxonomy."/>
      <w:r>
        <w:t xml:space="preserve">Figure 4. Taxonomy.</w:t>
      </w:r>
      <w:bookmarkEnd w:id="24"/>
    </w:p>
    <w:p>
      <w:pPr>
        <w:pStyle w:val="Compact"/>
        <w:numPr>
          <w:numId w:val="1004"/>
          <w:ilvl w:val="0"/>
        </w:numPr>
      </w:pPr>
      <w:r>
        <w:t xml:space="preserve">I chose to show genera with &gt;50 trees and species with &gt;30 trees, arbitrarily…</w:t>
      </w:r>
    </w:p>
    <w:p>
      <w:pPr>
        <w:pStyle w:val="Ttulo3"/>
      </w:pPr>
      <w:bookmarkStart w:id="25" w:name="figure-5.-sap-flow-methods-and-level."/>
      <w:r>
        <w:t xml:space="preserve">Figure 5. Sap flow methods and level.</w:t>
      </w:r>
      <w:bookmarkEnd w:id="25"/>
    </w:p>
    <w:p>
      <w:pPr>
        <w:pStyle w:val="Compact"/>
        <w:numPr>
          <w:numId w:val="1005"/>
          <w:ilvl w:val="0"/>
        </w:numPr>
      </w:pPr>
      <w:r>
        <w:t xml:space="preserve">Need to reduce the overlap between the labels of sap flow methods.</w:t>
      </w:r>
    </w:p>
    <w:p>
      <w:pPr>
        <w:pStyle w:val="Compact"/>
        <w:numPr>
          <w:numId w:val="1005"/>
          <w:ilvl w:val="0"/>
        </w:numPr>
      </w:pPr>
      <w:r>
        <w:t xml:space="preserve">Taxonize species and show another column Gymno, Angio</w:t>
      </w:r>
    </w:p>
    <w:p>
      <w:pPr>
        <w:pStyle w:val="Ttulo3"/>
      </w:pPr>
      <w:bookmarkStart w:id="26" w:name="figure-6.-site-and-plant-level-attributes"/>
      <w:r>
        <w:t xml:space="preserve">Figure 6. Site and plant level attributes</w:t>
      </w:r>
      <w:bookmarkEnd w:id="26"/>
    </w:p>
    <w:p>
      <w:pPr>
        <w:pStyle w:val="Compact"/>
        <w:numPr>
          <w:numId w:val="1006"/>
          <w:ilvl w:val="0"/>
        </w:numPr>
      </w:pPr>
      <w:r>
        <w:t xml:space="preserve">TODO: get from Víctor’s code.</w:t>
      </w:r>
    </w:p>
    <w:p>
      <w:pPr>
        <w:pStyle w:val="Ttulo3"/>
      </w:pPr>
      <w:bookmarkStart w:id="27" w:name="figure-7.-datasets-duration-and-period"/>
      <w:r>
        <w:t xml:space="preserve">Figure 7. Datasets duration and period</w:t>
      </w:r>
      <w:bookmarkEnd w:id="27"/>
    </w:p>
    <w:p>
      <w:pPr>
        <w:pStyle w:val="Compact"/>
        <w:numPr>
          <w:numId w:val="1007"/>
          <w:ilvl w:val="0"/>
        </w:numPr>
      </w:pPr>
      <w:r>
        <w:t xml:space="preserve">TODO: improve with Víctor.</w:t>
      </w:r>
    </w:p>
    <w:p>
      <w:pPr>
        <w:pStyle w:val="Ttulo3"/>
      </w:pPr>
      <w:bookmarkStart w:id="28" w:name="figure-8.-temporal-patterns"/>
      <w:r>
        <w:t xml:space="preserve">Figure 8. Temporal patterns</w:t>
      </w:r>
      <w:bookmarkEnd w:id="28"/>
    </w:p>
    <w:p>
      <w:pPr>
        <w:pStyle w:val="Compact"/>
        <w:numPr>
          <w:numId w:val="1008"/>
          <w:ilvl w:val="0"/>
        </w:numPr>
      </w:pPr>
      <w:r>
        <w:t xml:space="preserve">Improvements…</w:t>
      </w:r>
    </w:p>
    <w:p>
      <w:r>
        <w:br w:type="page"/>
      </w:r>
    </w:p>
    <w:p>
      <w:pPr>
        <w:pStyle w:val="FirstParagraph"/>
      </w:pPr>
      <w:r>
        <w:drawing>
          <wp:inline>
            <wp:extent cx="5943600" cy="71323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sitesma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uerpodetexto"/>
      </w:pPr>
      <w:r>
        <w:t xml:space="preserve">Figure 2. Geographical distribution of SAPFLUXNET datasets showing dataset #.</w:t>
      </w:r>
    </w:p>
    <w:p>
      <w:r>
        <w:br w:type="page"/>
      </w:r>
    </w:p>
    <w:p>
      <w:pPr>
        <w:pStyle w:val="Cuerpodetexto"/>
      </w:pPr>
      <w:r>
        <w:drawing>
          <wp:inline>
            <wp:extent cx="5943600" cy="71323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sitesmap_nocod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uerpodetexto"/>
      </w:pPr>
      <w:r>
        <w:t xml:space="preserve">Figure 2. Geographical distribution of SAPFLUXNET datasets.</w:t>
      </w:r>
    </w:p>
    <w:p>
      <w:r>
        <w:br w:type="page"/>
      </w:r>
    </w:p>
    <w:p>
      <w:pPr>
        <w:pStyle w:val="Cuerpodetexto"/>
      </w:pPr>
      <w:r>
        <w:drawing>
          <wp:inline>
            <wp:extent cx="5943600" cy="39623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biomema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Figure 3. Bioclimatic distribution of SAPFLUXNET datasets in the Whittaker biome space.</w:t>
      </w:r>
    </w:p>
    <w:p>
      <w:r>
        <w:br w:type="page"/>
      </w:r>
    </w:p>
    <w:p>
      <w:pPr>
        <w:pStyle w:val="Cuerpodetexto"/>
      </w:pPr>
      <w:r>
        <w:drawing>
          <wp:inline>
            <wp:extent cx="5943600" cy="39623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genera_speci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Figure 4. Taxonomic distribution of genera and species in SAPFLUXNET, showing (a) genera with &gt; 50 trees and (b) species with &gt; 30 trees</w:t>
      </w:r>
      <w:r>
        <w:t xml:space="preserve"> </w:t>
      </w:r>
      <w:r>
        <w:t xml:space="preserve">in the database.</w:t>
      </w:r>
    </w:p>
    <w:p>
      <w:r>
        <w:br w:type="page"/>
      </w:r>
    </w:p>
    <w:p>
      <w:pPr>
        <w:pStyle w:val="Cuerpodetexto"/>
      </w:pPr>
      <w:r>
        <w:drawing>
          <wp:inline>
            <wp:extent cx="5943600" cy="71323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method_typ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uerpodetexto"/>
      </w:pPr>
      <w:r>
        <w:t xml:space="preserve">Figure 5. Distribution of trees in SAPFLUXNET according to sap flow method and measurement level.</w:t>
      </w:r>
    </w:p>
    <w:p>
      <w:r>
        <w:br w:type="page"/>
      </w:r>
    </w:p>
    <w:p>
      <w:pPr>
        <w:pStyle w:val="Cuerpodetexto"/>
      </w:pPr>
      <w:r>
        <w:t xml:space="preserve">Figure 6. Plant and stand attributes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## Warning: namespace 'ggbiome' is not available and has been replaced</w:t>
      </w:r>
      <w:r>
        <w:br w:type="textWrapping"/>
      </w:r>
      <w:r>
        <w:rPr>
          <w:rStyle w:val="VerbatimChar"/>
        </w:rPr>
        <w:t xml:space="preserve">## by .GlobalEnv when processing object 'biomes_plot'</w:t>
      </w:r>
    </w:p>
    <w:p>
      <w:pPr>
        <w:pStyle w:val="FirstParagraph"/>
      </w:pPr>
      <w:r>
        <w:drawing>
          <wp:inline>
            <wp:extent cx="5943600" cy="71323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dataset_duratio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uerpodetexto"/>
      </w:pPr>
      <w:r>
        <w:t xml:space="preserve">Figure 7. Datasets duration and period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## Warning in f(...): Raster pixels are placed at uneven vertical intervals and</w:t>
      </w:r>
      <w:r>
        <w:br w:type="textWrapping"/>
      </w:r>
      <w:r>
        <w:rPr>
          <w:rStyle w:val="VerbatimChar"/>
        </w:rPr>
        <w:t xml:space="preserve">## will be shifted. Consider using geom_tile() instead.</w:t>
      </w:r>
    </w:p>
    <w:p>
      <w:pPr>
        <w:pStyle w:val="FirstParagraph"/>
      </w:pPr>
      <w:r>
        <w:drawing>
          <wp:inline>
            <wp:extent cx="5943600" cy="71323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fingerprint_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uerpodetexto"/>
      </w:pPr>
      <w:r>
        <w:t xml:space="preserve">Figure 8. Temporal patterns.</w:t>
      </w:r>
    </w:p>
    <w:p>
      <w:r>
        <w:br w:type="page"/>
      </w:r>
    </w:p>
    <w:p>
      <w:pPr>
        <w:pStyle w:val="Cuerpodetexto"/>
      </w:pPr>
      <w:r>
        <w:t xml:space="preserve">Figure 9. Scaling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100" w:charSpace="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Cs w:val="24"/>
        <w:lang w:val="en-US" w:eastAsia="en-US" w:bidi="ar-SA"/>
      </w:rPr>
    </w:rPrDefault>
    <w:pPrDefault>
      <w:pPr/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Ttulo1">
    <w:name w:val="Heading 1"/>
    <w:basedOn w:val="Normal"/>
    <w:next w:val="Cuerpodetexto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2"/>
      <w:szCs w:val="32"/>
    </w:rPr>
  </w:style>
  <w:style w:type="paragraph" w:styleId="Ttulo2">
    <w:name w:val="Heading 2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1"/>
    </w:pPr>
    <w:rPr>
      <w:rFonts w:ascii="Liberation Serif" w:hAnsi="Liberation Serif" w:eastAsia="" w:cs="" w:cstheme="majorBidi" w:eastAsiaTheme="majorEastAsia"/>
      <w:b/>
      <w:bCs/>
      <w:color w:val="000000"/>
      <w:sz w:val="32"/>
      <w:szCs w:val="32"/>
    </w:rPr>
  </w:style>
  <w:style w:type="paragraph" w:styleId="Ttulo3">
    <w:name w:val="Heading 3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Ttulo4">
    <w:name w:val="Heading 4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Ttulo5">
    <w:name w:val="Heading 5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/>
      <w:iCs/>
      <w:color w:val="4F81BD" w:themeColor="accent1"/>
      <w:sz w:val="24"/>
      <w:szCs w:val="24"/>
    </w:rPr>
  </w:style>
  <w:style w:type="paragraph" w:styleId="Ttulo6">
    <w:name w:val="Heading 6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Ttulo7">
    <w:name w:val="Heading 7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Ttulo8">
    <w:name w:val="Heading 8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Ttulo9">
    <w:name w:val="Heading 9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link w:val="BodyTex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Ancladenotaalpie">
    <w:name w:val="Ancla de nota al pie"/>
    <w:rPr>
      <w:vertAlign w:val="superscript"/>
    </w:rPr>
  </w:style>
  <w:style w:type="character" w:styleId="FootnoteCharacters">
    <w:name w:val="Footnote Characters"/>
    <w:basedOn w:val="BodyTextChar"/>
    <w:qFormat/>
    <w:rPr>
      <w:vertAlign w:val="superscript"/>
    </w:rPr>
  </w:style>
  <w:style w:type="character" w:styleId="EnlacedeInternet">
    <w:name w:val="Enlace de Internet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color w:val="204A87"/>
      <w:shd w:fill="F8F8F8" w:val="clear"/>
    </w:rPr>
  </w:style>
  <w:style w:type="character" w:styleId="DataTypeTok" w:customStyle="1">
    <w:name w:val="DataTypeTok"/>
    <w:basedOn w:val="VerbatimChar"/>
    <w:qFormat/>
    <w:rPr>
      <w:color w:val="204A87"/>
      <w:shd w:fill="F8F8F8" w:val="clear"/>
    </w:rPr>
  </w:style>
  <w:style w:type="character" w:styleId="DecValTok" w:customStyle="1">
    <w:name w:val="DecValTok"/>
    <w:basedOn w:val="VerbatimChar"/>
    <w:qFormat/>
    <w:rPr>
      <w:color w:val="0000CF"/>
      <w:shd w:fill="F8F8F8" w:val="clear"/>
    </w:rPr>
  </w:style>
  <w:style w:type="character" w:styleId="BaseNTok" w:customStyle="1">
    <w:name w:val="BaseNTok"/>
    <w:basedOn w:val="VerbatimChar"/>
    <w:qFormat/>
    <w:rPr>
      <w:color w:val="0000CF"/>
      <w:shd w:fill="F8F8F8" w:val="clear"/>
    </w:rPr>
  </w:style>
  <w:style w:type="character" w:styleId="FloatTok" w:customStyle="1">
    <w:name w:val="FloatTok"/>
    <w:basedOn w:val="VerbatimChar"/>
    <w:qFormat/>
    <w:rPr>
      <w:color w:val="0000CF"/>
      <w:shd w:fill="F8F8F8" w:val="clear"/>
    </w:rPr>
  </w:style>
  <w:style w:type="character" w:styleId="ConstantTok" w:customStyle="1">
    <w:name w:val="ConstantTok"/>
    <w:basedOn w:val="VerbatimChar"/>
    <w:qFormat/>
    <w:rPr>
      <w:color w:val="000000"/>
      <w:shd w:fill="F8F8F8" w:val="clear"/>
    </w:rPr>
  </w:style>
  <w:style w:type="character" w:styleId="CharTok" w:customStyle="1">
    <w:name w:val="CharTok"/>
    <w:basedOn w:val="VerbatimChar"/>
    <w:qFormat/>
    <w:rPr>
      <w:color w:val="4E9A06"/>
      <w:shd w:fill="F8F8F8" w:val="clear"/>
    </w:rPr>
  </w:style>
  <w:style w:type="character" w:styleId="SpecialCharTok" w:customStyle="1">
    <w:name w:val="SpecialCharTok"/>
    <w:basedOn w:val="VerbatimChar"/>
    <w:qFormat/>
    <w:rPr>
      <w:color w:val="000000"/>
      <w:shd w:fill="F8F8F8" w:val="clear"/>
    </w:rPr>
  </w:style>
  <w:style w:type="character" w:styleId="StringTok" w:customStyle="1">
    <w:name w:val="StringTok"/>
    <w:basedOn w:val="VerbatimChar"/>
    <w:qFormat/>
    <w:rPr>
      <w:color w:val="4E9A06"/>
      <w:shd w:fill="F8F8F8" w:val="clear"/>
    </w:rPr>
  </w:style>
  <w:style w:type="character" w:styleId="VerbatimStringTok" w:customStyle="1">
    <w:name w:val="VerbatimStringTok"/>
    <w:basedOn w:val="VerbatimChar"/>
    <w:qFormat/>
    <w:rPr>
      <w:color w:val="4E9A06"/>
      <w:shd w:fill="F8F8F8" w:val="clear"/>
    </w:rPr>
  </w:style>
  <w:style w:type="character" w:styleId="SpecialStringTok" w:customStyle="1">
    <w:name w:val="SpecialStringTok"/>
    <w:basedOn w:val="VerbatimChar"/>
    <w:qFormat/>
    <w:rPr>
      <w:color w:val="4E9A06"/>
      <w:shd w:fill="F8F8F8" w:val="clear"/>
    </w:rPr>
  </w:style>
  <w:style w:type="character" w:styleId="ImportTok" w:customStyle="1">
    <w:name w:val="ImportTok"/>
    <w:basedOn w:val="VerbatimChar"/>
    <w:qFormat/>
    <w:rPr>
      <w:shd w:fill="F8F8F8" w:val="clear"/>
    </w:rPr>
  </w:style>
  <w:style w:type="character" w:styleId="CommentTok" w:customStyle="1">
    <w:name w:val="CommentTok"/>
    <w:basedOn w:val="VerbatimChar"/>
    <w:qFormat/>
    <w:rPr>
      <w:i/>
      <w:color w:val="8F5902"/>
      <w:shd w:fill="F8F8F8" w:val="clear"/>
    </w:rPr>
  </w:style>
  <w:style w:type="character" w:styleId="DocumentationTok" w:customStyle="1">
    <w:name w:val="DocumentationTok"/>
    <w:basedOn w:val="VerbatimChar"/>
    <w:qFormat/>
    <w:rPr>
      <w:i/>
      <w:color w:val="8F5902"/>
      <w:shd w:fill="F8F8F8" w:val="clear"/>
    </w:rPr>
  </w:style>
  <w:style w:type="character" w:styleId="AnnotationTok" w:customStyle="1">
    <w:name w:val="AnnotationTok"/>
    <w:basedOn w:val="VerbatimChar"/>
    <w:qFormat/>
    <w:rPr>
      <w:i/>
      <w:color w:val="8F5902"/>
      <w:shd w:fill="F8F8F8" w:val="clear"/>
    </w:rPr>
  </w:style>
  <w:style w:type="character" w:styleId="CommentVarTok" w:customStyle="1">
    <w:name w:val="CommentVarTok"/>
    <w:basedOn w:val="VerbatimChar"/>
    <w:qFormat/>
    <w:rPr>
      <w:i/>
      <w:color w:val="8F5902"/>
      <w:shd w:fill="F8F8F8" w:val="clear"/>
    </w:rPr>
  </w:style>
  <w:style w:type="character" w:styleId="OtherTok" w:customStyle="1">
    <w:name w:val="OtherTok"/>
    <w:basedOn w:val="VerbatimChar"/>
    <w:qFormat/>
    <w:rPr>
      <w:color w:val="8F5902"/>
      <w:shd w:fill="F8F8F8" w:val="clear"/>
    </w:rPr>
  </w:style>
  <w:style w:type="character" w:styleId="FunctionTok" w:customStyle="1">
    <w:name w:val="FunctionTok"/>
    <w:basedOn w:val="VerbatimChar"/>
    <w:qFormat/>
    <w:rPr>
      <w:color w:val="000000"/>
      <w:shd w:fill="F8F8F8" w:val="clear"/>
    </w:rPr>
  </w:style>
  <w:style w:type="character" w:styleId="VariableTok" w:customStyle="1">
    <w:name w:val="VariableTok"/>
    <w:basedOn w:val="VerbatimChar"/>
    <w:qFormat/>
    <w:rPr>
      <w:color w:val="000000"/>
      <w:shd w:fill="F8F8F8" w:val="clear"/>
    </w:rPr>
  </w:style>
  <w:style w:type="character" w:styleId="ControlFlowTok" w:customStyle="1">
    <w:name w:val="ControlFlowTok"/>
    <w:basedOn w:val="VerbatimChar"/>
    <w:qFormat/>
    <w:rPr>
      <w:color w:val="204A87"/>
      <w:shd w:fill="F8F8F8" w:val="clear"/>
    </w:rPr>
  </w:style>
  <w:style w:type="character" w:styleId="OperatorTok" w:customStyle="1">
    <w:name w:val="OperatorTok"/>
    <w:basedOn w:val="VerbatimChar"/>
    <w:qFormat/>
    <w:rPr>
      <w:color w:val="CE5C00"/>
      <w:shd w:fill="F8F8F8" w:val="clear"/>
    </w:rPr>
  </w:style>
  <w:style w:type="character" w:styleId="BuiltInTok" w:customStyle="1">
    <w:name w:val="BuiltInTok"/>
    <w:basedOn w:val="VerbatimChar"/>
    <w:qFormat/>
    <w:rPr>
      <w:shd w:fill="F8F8F8" w:val="clear"/>
    </w:rPr>
  </w:style>
  <w:style w:type="character" w:styleId="ExtensionTok" w:customStyle="1">
    <w:name w:val="ExtensionTok"/>
    <w:basedOn w:val="VerbatimChar"/>
    <w:qFormat/>
    <w:rPr>
      <w:shd w:fill="F8F8F8" w:val="clear"/>
    </w:rPr>
  </w:style>
  <w:style w:type="character" w:styleId="PreprocessorTok" w:customStyle="1">
    <w:name w:val="PreprocessorTok"/>
    <w:basedOn w:val="VerbatimChar"/>
    <w:qFormat/>
    <w:rPr>
      <w:i/>
      <w:color w:val="8F5902"/>
      <w:shd w:fill="F8F8F8" w:val="clear"/>
    </w:rPr>
  </w:style>
  <w:style w:type="character" w:styleId="AttributeTok" w:customStyle="1">
    <w:name w:val="AttributeTok"/>
    <w:basedOn w:val="VerbatimChar"/>
    <w:qFormat/>
    <w:rPr>
      <w:color w:val="C4A000"/>
      <w:shd w:fill="F8F8F8" w:val="clear"/>
    </w:rPr>
  </w:style>
  <w:style w:type="character" w:styleId="RegionMarkerTok" w:customStyle="1">
    <w:name w:val="RegionMarkerTok"/>
    <w:basedOn w:val="VerbatimChar"/>
    <w:qFormat/>
    <w:rPr>
      <w:shd w:fill="F8F8F8" w:val="clear"/>
    </w:rPr>
  </w:style>
  <w:style w:type="character" w:styleId="InformationTok" w:customStyle="1">
    <w:name w:val="InformationTok"/>
    <w:basedOn w:val="VerbatimChar"/>
    <w:qFormat/>
    <w:rPr>
      <w:i/>
      <w:color w:val="8F5902"/>
      <w:shd w:fill="F8F8F8" w:val="clear"/>
    </w:rPr>
  </w:style>
  <w:style w:type="character" w:styleId="WarningTok" w:customStyle="1">
    <w:name w:val="WarningTok"/>
    <w:basedOn w:val="VerbatimChar"/>
    <w:qFormat/>
    <w:rPr>
      <w:i/>
      <w:color w:val="8F5902"/>
      <w:shd w:fill="F8F8F8" w:val="clear"/>
    </w:rPr>
  </w:style>
  <w:style w:type="character" w:styleId="AlertTok" w:customStyle="1">
    <w:name w:val="AlertTok"/>
    <w:basedOn w:val="VerbatimChar"/>
    <w:qFormat/>
    <w:rPr>
      <w:color w:val="EF2929"/>
      <w:shd w:fill="F8F8F8" w:val="clear"/>
    </w:rPr>
  </w:style>
  <w:style w:type="character" w:styleId="ErrorTok" w:customStyle="1">
    <w:name w:val="ErrorTok"/>
    <w:basedOn w:val="VerbatimChar"/>
    <w:qFormat/>
    <w:rPr>
      <w:color w:val="A40000"/>
      <w:shd w:fill="F8F8F8" w:val="clear"/>
    </w:rPr>
  </w:style>
  <w:style w:type="character" w:styleId="NormalTok" w:customStyle="1">
    <w:name w:val="NormalTok"/>
    <w:basedOn w:val="VerbatimChar"/>
    <w:qFormat/>
    <w:rPr>
      <w:shd w:fill="F8F8F8" w:val="clear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link w:val="BodyTextChar"/>
    <w:qFormat/>
    <w:pPr>
      <w:spacing w:before="180" w:after="18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FirstParagraph" w:customStyle="1">
    <w:name w:val="First Paragraph"/>
    <w:basedOn w:val="Cuerpodetexto"/>
    <w:next w:val="Cuerpodetexto"/>
    <w:qFormat/>
    <w:pPr/>
    <w:rPr>
      <w:rFonts w:ascii="Liberation Serif" w:hAnsi="Liberation Serif"/>
    </w:rPr>
  </w:style>
  <w:style w:type="paragraph" w:styleId="Compact" w:customStyle="1">
    <w:name w:val="Compact"/>
    <w:basedOn w:val="Cuerpodetexto"/>
    <w:qFormat/>
    <w:pPr>
      <w:spacing w:before="36" w:after="36"/>
    </w:pPr>
    <w:rPr/>
  </w:style>
  <w:style w:type="paragraph" w:styleId="Titular">
    <w:name w:val="Title"/>
    <w:basedOn w:val="Normal"/>
    <w:next w:val="Cuerpodetexto"/>
    <w:qFormat/>
    <w:pPr>
      <w:keepNext w:val="true"/>
      <w:keepLines/>
      <w:spacing w:before="480" w:after="240"/>
      <w:jc w:val="center"/>
    </w:pPr>
    <w:rPr>
      <w:rFonts w:ascii="Liberation Serif" w:hAnsi="Liberation Serif" w:eastAsia="" w:cs="" w:cstheme="majorBidi" w:eastAsiaTheme="majorEastAsia"/>
      <w:b/>
      <w:bCs/>
      <w:color w:val="000000" w:themeShade="b5"/>
      <w:sz w:val="36"/>
      <w:szCs w:val="36"/>
    </w:rPr>
  </w:style>
  <w:style w:type="paragraph" w:styleId="Subttulo">
    <w:name w:val="Subtitle"/>
    <w:basedOn w:val="Titular"/>
    <w:next w:val="Cuerpodetexto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Cuerpodetexto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Date">
    <w:name w:val="Date"/>
    <w:next w:val="Cuerpodetexto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Abstract" w:customStyle="1">
    <w:name w:val="Abstract"/>
    <w:basedOn w:val="Normal"/>
    <w:next w:val="Cuerpodetexto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Cuerpodetexto"/>
    <w:next w:val="Cuerpodetexto"/>
    <w:uiPriority w:val="9"/>
    <w:unhideWhenUsed/>
    <w:qFormat/>
    <w:pPr>
      <w:spacing w:before="100" w:after="100"/>
      <w:ind w:hanging="0"/>
    </w:pPr>
    <w:rPr>
      <w:rFonts w:ascii="Calibri" w:hAnsi="Calibri" w:eastAsia="" w:cs="" w:asciiTheme="majorHAnsi" w:cstheme="majorBidi" w:eastAsiaTheme="majorEastAsia" w:hAnsiTheme="majorHAnsi"/>
      <w:bCs/>
      <w:sz w:val="20"/>
      <w:szCs w:val="20"/>
    </w:rPr>
  </w:style>
  <w:style w:type="paragraph" w:styleId="Notaalpie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Leyenda"/>
    <w:qFormat/>
    <w:pPr>
      <w:keepNext w:val="true"/>
    </w:pPr>
    <w:rPr/>
  </w:style>
  <w:style w:type="paragraph" w:styleId="ImageCaption" w:customStyle="1">
    <w:name w:val="Image Caption"/>
    <w:basedOn w:val="Leyenda"/>
    <w:qFormat/>
    <w:pPr/>
    <w:rPr/>
  </w:style>
  <w:style w:type="paragraph" w:styleId="Figura" w:customStyle="1">
    <w:name w:val="Figura"/>
    <w:basedOn w:val="Normal"/>
    <w:qFormat/>
    <w:pPr/>
    <w:rPr/>
  </w:style>
  <w:style w:type="paragraph" w:styleId="CaptionedFigure" w:customStyle="1">
    <w:name w:val="Captioned Figure"/>
    <w:basedOn w:val="Figura"/>
    <w:qFormat/>
    <w:pPr>
      <w:keepNext w:val="true"/>
    </w:pPr>
    <w:rPr/>
  </w:style>
  <w:style w:type="paragraph" w:styleId="TOCHeading">
    <w:name w:val="TOC Heading"/>
    <w:basedOn w:val="Ttulo1"/>
    <w:next w:val="Cuerpodetexto"/>
    <w:uiPriority w:val="39"/>
    <w:unhideWhenUsed/>
    <w:qFormat/>
    <w:pPr>
      <w:spacing w:lineRule="auto" w:line="259" w:before="240" w:after="0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>
      <w:shd w:val="clear" w:fill="F8F8F8"/>
    </w:pPr>
    <w:rPr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29" Target="media/rId29.png" /><Relationship Type="http://schemas.openxmlformats.org/officeDocument/2006/relationships/image" Id="rId30" Target="media/rId30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Application>LibreOffice/6.3.4.2$Linux_X86_64 LibreOffice_project/30$Build-2</Application>
  <Pages>2</Pages>
  <Words>146</Words>
  <Characters>667</Characters>
  <CharactersWithSpaces>865</CharactersWithSpaces>
  <Paragraphs>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Figures for SAPFLUXNET data paper</dc:title>
  <dc:creator>R. Poyatos</dc:creator>
  <cp:keywords/>
  <dcterms:created xsi:type="dcterms:W3CDTF">2020-01-20T23:52:54Z</dcterms:created>
  <dcterms:modified xsi:type="dcterms:W3CDTF">2020-01-20T23:52:54Z</dcterms:modified>
</cp:coreProperties>
</file>