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9.png" ContentType="image/png"/>
  <Override PartName="/word/media/rId41.png" ContentType="image/png"/>
  <Override PartName="/word/media/rId40.png" ContentType="image/png"/>
  <Override PartName="/word/media/rId36.png" ContentType="image/png"/>
  <Override PartName="/word/media/rId37.png" ContentType="image/png"/>
  <Override PartName="/word/media/rId35.png" ContentType="image/png"/>
  <Override PartName="/word/media/rId34.png" ContentType="image/png"/>
  <Override PartName="/word/media/rId38.png" ContentType="image/png"/>
  <Override PartName="/word/media/rId33.svg" ContentType="image/svg+xml"/>
  <Override PartName="/word/media/rId42.tiff" ContentType="image/tiff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ular"/>
      </w:pPr>
      <w:r>
        <w:t xml:space="preserve">Figures</w:t>
      </w:r>
      <w:r>
        <w:t xml:space="preserve"> </w:t>
      </w:r>
      <w:r>
        <w:t xml:space="preserve">for</w:t>
      </w:r>
      <w:r>
        <w:t xml:space="preserve"> </w:t>
      </w:r>
      <w:r>
        <w:t xml:space="preserve">SAPFLUXNET</w:t>
      </w:r>
      <w:r>
        <w:t xml:space="preserve"> </w:t>
      </w:r>
      <w:r>
        <w:t xml:space="preserve">data</w:t>
      </w:r>
      <w:r>
        <w:t xml:space="preserve"> </w:t>
      </w:r>
      <w:r>
        <w:t xml:space="preserve">paper</w:t>
      </w:r>
    </w:p>
    <w:p>
      <w:pPr>
        <w:pStyle w:val="Author"/>
      </w:pPr>
      <w:r>
        <w:t xml:space="preserve">R.</w:t>
      </w:r>
      <w:r>
        <w:t xml:space="preserve"> </w:t>
      </w:r>
      <w:r>
        <w:t xml:space="preserve">Poyatos</w:t>
      </w:r>
    </w:p>
    <w:p>
      <w:pPr>
        <w:pStyle w:val="Date"/>
      </w:pPr>
      <w:r>
        <w:t xml:space="preserve">27/12/2019</w:t>
      </w:r>
    </w:p>
    <w:p>
      <w:pPr>
        <w:pStyle w:val="Ttulo2"/>
      </w:pPr>
      <w:bookmarkStart w:id="20" w:name="figures"/>
      <w:r>
        <w:t xml:space="preserve">Figures</w:t>
      </w:r>
      <w:bookmarkEnd w:id="20"/>
    </w:p>
    <w:p>
      <w:pPr>
        <w:pStyle w:val="Ttulo3"/>
      </w:pPr>
      <w:bookmarkStart w:id="21" w:name="figure-1.-data-workflow"/>
      <w:r>
        <w:t xml:space="preserve">Figure 1. Data workflow</w:t>
      </w:r>
      <w:bookmarkEnd w:id="21"/>
    </w:p>
    <w:p>
      <w:pPr>
        <w:pStyle w:val="Ttulo3"/>
      </w:pPr>
      <w:bookmarkStart w:id="22" w:name="figure-2.-geographic-bioclimatic-and-veg-type-coverage"/>
      <w:r>
        <w:t xml:space="preserve">Figure 2. Geographic, bioclimatic and veg type coverage</w:t>
      </w:r>
      <w:bookmarkEnd w:id="22"/>
    </w:p>
    <w:p>
      <w:pPr>
        <w:pStyle w:val="Compact"/>
        <w:numPr>
          <w:numId w:val="1002"/>
          <w:ilvl w:val="1"/>
        </w:numPr>
      </w:pPr>
      <w:r>
        <w:t xml:space="preserve">world map, b) biome plot, c) pft distribution</w:t>
      </w:r>
    </w:p>
    <w:p>
      <w:pPr>
        <w:pStyle w:val="Compact"/>
        <w:numPr>
          <w:numId w:val="1001"/>
          <w:ilvl w:val="0"/>
        </w:numPr>
      </w:pPr>
      <w:r>
        <w:t xml:space="preserve">TODO: world map is also shown in fig 3. Maybe go back to original idea of showing first</w:t>
      </w:r>
      <w:r>
        <w:t xml:space="preserve"> </w:t>
      </w:r>
      <w:r>
        <w:t xml:space="preserve">the geographical distribution (now fig 3), then in another figure show biome and pft distribution.</w:t>
      </w:r>
    </w:p>
    <w:p>
      <w:pPr>
        <w:pStyle w:val="Ttulo3"/>
      </w:pPr>
      <w:bookmarkStart w:id="23" w:name="figure-3.-detailed-geographic-distribution."/>
      <w:r>
        <w:t xml:space="preserve">Figure 3. Detailed geographic distribution.</w:t>
      </w:r>
      <w:bookmarkEnd w:id="23"/>
    </w:p>
    <w:p>
      <w:pPr>
        <w:pStyle w:val="Compact"/>
        <w:numPr>
          <w:numId w:val="1003"/>
          <w:ilvl w:val="0"/>
        </w:numPr>
      </w:pPr>
      <w:r>
        <w:t xml:space="preserve">The idea of this was to get rid of the global map, so it would not repeat somehow fig. 2. See comment</w:t>
      </w:r>
      <w:r>
        <w:t xml:space="preserve"> </w:t>
      </w:r>
      <w:r>
        <w:t xml:space="preserve">on fig. 2 …</w:t>
      </w:r>
    </w:p>
    <w:p>
      <w:pPr>
        <w:pStyle w:val="Ttulo3"/>
      </w:pPr>
      <w:bookmarkStart w:id="24" w:name="figure-4.-taxonomy."/>
      <w:r>
        <w:t xml:space="preserve">Figure 4. Taxonomy.</w:t>
      </w:r>
      <w:bookmarkEnd w:id="24"/>
    </w:p>
    <w:p>
      <w:pPr>
        <w:pStyle w:val="Compact"/>
        <w:numPr>
          <w:numId w:val="1004"/>
          <w:ilvl w:val="0"/>
        </w:numPr>
      </w:pPr>
      <w:r>
        <w:t xml:space="preserve">Major improvements by Víctor</w:t>
      </w:r>
    </w:p>
    <w:p>
      <w:pPr>
        <w:pStyle w:val="Ttulo3"/>
      </w:pPr>
      <w:bookmarkStart w:id="25" w:name="figure-5.-sap-flow-methods-and-measurement-level."/>
      <w:r>
        <w:t xml:space="preserve">Figure 5. Sap flow methods and measurement level.</w:t>
      </w:r>
      <w:bookmarkEnd w:id="25"/>
    </w:p>
    <w:p>
      <w:pPr>
        <w:pStyle w:val="Ttulo3"/>
      </w:pPr>
      <w:bookmarkStart w:id="26" w:name="table-1.-calibrations"/>
      <w:r>
        <w:t xml:space="preserve">Table 1. Calibrations</w:t>
      </w:r>
      <w:bookmarkEnd w:id="26"/>
    </w:p>
    <w:p>
      <w:pPr>
        <w:pStyle w:val="Ttulo3"/>
      </w:pPr>
      <w:bookmarkStart w:id="27" w:name="table-2.-whole-plant-integration-of-sap-flow-data."/>
      <w:r>
        <w:t xml:space="preserve">Table 2. Whole-plant integration of sap flow data.</w:t>
      </w:r>
      <w:bookmarkEnd w:id="27"/>
    </w:p>
    <w:p>
      <w:pPr>
        <w:pStyle w:val="Ttulo3"/>
      </w:pPr>
      <w:bookmarkStart w:id="28" w:name="figure-6.-site-and-plant-level-attributes"/>
      <w:r>
        <w:t xml:space="preserve">Figure 6. Site and plant level attributes</w:t>
      </w:r>
      <w:bookmarkEnd w:id="28"/>
    </w:p>
    <w:p>
      <w:pPr>
        <w:pStyle w:val="Compact"/>
        <w:numPr>
          <w:numId w:val="1005"/>
          <w:ilvl w:val="0"/>
        </w:numPr>
      </w:pPr>
      <w:r>
        <w:t xml:space="preserve">TODO: add titles to labels a) stand, b) plant, gymno/angio.</w:t>
      </w:r>
    </w:p>
    <w:p>
      <w:pPr>
        <w:pStyle w:val="Ttulo3"/>
      </w:pPr>
      <w:bookmarkStart w:id="29" w:name="figure-7.-datasets-duration-and-period"/>
      <w:r>
        <w:t xml:space="preserve">Figure 7. Datasets duration and period</w:t>
      </w:r>
      <w:bookmarkEnd w:id="29"/>
    </w:p>
    <w:p>
      <w:pPr>
        <w:pStyle w:val="Compact"/>
        <w:numPr>
          <w:numId w:val="1006"/>
          <w:ilvl w:val="0"/>
        </w:numPr>
      </w:pPr>
      <w:r>
        <w:t xml:space="preserve">Major improvements by Víctor</w:t>
      </w:r>
    </w:p>
    <w:p>
      <w:pPr>
        <w:pStyle w:val="Ttulo3"/>
      </w:pPr>
      <w:bookmarkStart w:id="30" w:name="figure-8.-temporal-patterns"/>
      <w:r>
        <w:t xml:space="preserve">Figure 8. Temporal patterns</w:t>
      </w:r>
      <w:bookmarkEnd w:id="30"/>
    </w:p>
    <w:p>
      <w:pPr>
        <w:pStyle w:val="Compact"/>
        <w:numPr>
          <w:numId w:val="1007"/>
          <w:ilvl w:val="0"/>
        </w:numPr>
      </w:pPr>
      <w:r>
        <w:t xml:space="preserve">TODO: add titles to labels: a) ESP_CAN, Mediterranean, b), c</w:t>
      </w:r>
    </w:p>
    <w:p>
      <w:pPr>
        <w:pStyle w:val="Ttulo3"/>
      </w:pPr>
      <w:bookmarkStart w:id="31" w:name="figure-9.-environmental-variables"/>
      <w:r>
        <w:t xml:space="preserve">Figure 9. Environmental variables</w:t>
      </w:r>
      <w:bookmarkEnd w:id="31"/>
    </w:p>
    <w:p>
      <w:pPr>
        <w:pStyle w:val="Ttulo3"/>
      </w:pPr>
      <w:bookmarkStart w:id="32" w:name="figure-10.-scaling."/>
      <w:r>
        <w:t xml:space="preserve">Figure 10. Scaling.</w:t>
      </w:r>
      <w:bookmarkEnd w:id="32"/>
    </w:p>
    <w:p>
      <w:r>
        <w:br w:type="page"/>
      </w:r>
    </w:p>
    <w:p>
      <w:pPr>
        <w:pStyle w:val="FirstParagraph"/>
      </w:pPr>
      <w:r>
        <w:drawing>
          <wp:inline>
            <wp:extent cx="3590925" cy="6429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ources/QC_process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6429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1. Data workflow.</w:t>
      </w:r>
    </w:p>
    <w:p>
      <w:r>
        <w:br w:type="page"/>
      </w:r>
    </w:p>
    <w:p>
      <w:pPr>
        <w:pStyle w:val="Cuerpodetexto"/>
      </w:pPr>
      <w:r>
        <w:drawing>
          <wp:inline>
            <wp:extent cx="5943600" cy="594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sitesma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2. Geographical distribution of SAPFLUXNET datasets.</w:t>
      </w:r>
    </w:p>
    <w:p>
      <w:r>
        <w:br w:type="page"/>
      </w:r>
    </w:p>
    <w:p>
      <w:pPr>
        <w:pStyle w:val="Cuerpodetexto"/>
      </w:pPr>
      <w:r>
        <w:drawing>
          <wp:inline>
            <wp:extent cx="5943600" cy="7132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regional_map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Figure 3. Detailed geographic distribution.</w:t>
      </w:r>
    </w:p>
    <w:p>
      <w:r>
        <w:br w:type="page"/>
      </w:r>
    </w:p>
    <w:p>
      <w:pPr>
        <w:pStyle w:val="Cuerpodetexto"/>
      </w:pPr>
      <w:r>
        <w:drawing>
          <wp:inline>
            <wp:extent cx="5943600" cy="7429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genera_speci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Figure 4. Taxonomic distribution of genera and species in SAPFLUXNET, showing (a) genera with &gt; 50 trees and (b) species with &gt; 30 trees in the database.</w:t>
      </w:r>
    </w:p>
    <w:p>
      <w:r>
        <w:br w:type="page"/>
      </w:r>
    </w:p>
    <w:p>
      <w:pPr>
        <w:pStyle w:val="Cuerpodetexto"/>
      </w:pPr>
      <w:r>
        <w:drawing>
          <wp:inline>
            <wp:extent cx="5943600" cy="7132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method_typ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5. Distribution of trees in SAPFLUXNET according to sap flow method and measurement level.</w:t>
      </w:r>
    </w:p>
    <w:p>
      <w:r>
        <w:br w:type="page"/>
      </w:r>
    </w:p>
    <w:p>
      <w:pPr>
        <w:pStyle w:val="TableCaption"/>
      </w:pPr>
      <w:r>
        <w:t xml:space="preserve">Table 1. Number of sap flow times series in SAPFLUXNET with species-specific calibrated data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144"/>
        <w:gridCol w:w="1413"/>
        <w:gridCol w:w="1841"/>
        <w:gridCol w:w="1658"/>
        <w:gridCol w:w="1621"/>
      </w:tblGrid>
      <w:tr>
        <w:trPr>
          <w:cantSplit/>
          <w:trHeight w:val="456" w:hRule="exact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Method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Calibrated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Non-calibrated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Not provided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% calibrated</w:t>
            </w:r>
          </w:p>
        </w:tc>
      </w:tr>
      <w:tr>
        <w:trPr>
          <w:cantSplit/>
          <w:trHeight w:val="406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CHD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46.2</w:t>
            </w:r>
          </w:p>
        </w:tc>
      </w:tr>
      <w:tr>
        <w:trPr>
          <w:cantSplit/>
          <w:trHeight w:val="406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CHP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14.6</w:t>
            </w:r>
          </w:p>
        </w:tc>
      </w:tr>
      <w:tr>
        <w:trPr>
          <w:cantSplit/>
          <w:trHeight w:val="406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HD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13.5</w:t>
            </w:r>
          </w:p>
        </w:tc>
      </w:tr>
      <w:tr>
        <w:trPr>
          <w:cantSplit/>
          <w:trHeight w:val="406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HFD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</w:t>
            </w:r>
          </w:p>
        </w:tc>
      </w:tr>
      <w:tr>
        <w:trPr>
          <w:cantSplit/>
          <w:trHeight w:val="406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HPTM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</w:t>
            </w:r>
          </w:p>
        </w:tc>
      </w:tr>
      <w:tr>
        <w:trPr>
          <w:cantSplit/>
          <w:trHeight w:val="406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HR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2.9</w:t>
            </w:r>
          </w:p>
        </w:tc>
      </w:tr>
      <w:tr>
        <w:trPr>
          <w:cantSplit/>
          <w:trHeight w:val="406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SHB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</w:t>
            </w:r>
          </w:p>
        </w:tc>
      </w:tr>
      <w:tr>
        <w:trPr>
          <w:cantSplit/>
          <w:trHeight w:val="406" w:hRule="exact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TSHB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433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1.6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2. Number of trees using different radial and azimuthal integration approaches, for</w:t>
      </w:r>
      <w:r>
        <w:t xml:space="preserve"> </w:t>
      </w:r>
      <w:r>
        <w:t xml:space="preserve">the different sap flow methods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936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exact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gridSpan w:val="5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Radial correction</w:t>
            </w:r>
          </w:p>
        </w:tc>
        <w:tc>
          <w:tcPr>
            <w:gridSpan w:val="5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Azimuthal correction</w:t>
            </w:r>
          </w:p>
        </w:tc>
      </w:tr>
      <w:tr>
        <w:trPr>
          <w:cantSplit/>
          <w:trHeight w:val="1440" w:hRule="exact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Method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Measured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Sensor-integrated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Corrected, measured radial variation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No radial correction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Not provided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Measured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Sensor-integrated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Corrected, measured azimuthal variation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No azimuthal correction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Not provided</w:t>
            </w:r>
          </w:p>
        </w:tc>
      </w:tr>
      <w:tr>
        <w:trPr>
          <w:cantSplit/>
          <w:trHeight w:val="360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CHD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4</w:t>
            </w:r>
          </w:p>
        </w:tc>
      </w:tr>
      <w:tr>
        <w:trPr>
          <w:cantSplit/>
          <w:trHeight w:val="360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CHP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60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HD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645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703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46</w:t>
            </w:r>
          </w:p>
        </w:tc>
      </w:tr>
      <w:tr>
        <w:trPr>
          <w:cantSplit/>
          <w:trHeight w:val="360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HFD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60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HPTM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60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HR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</w:t>
            </w:r>
          </w:p>
        </w:tc>
      </w:tr>
      <w:tr>
        <w:trPr>
          <w:cantSplit/>
          <w:trHeight w:val="360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SHB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60" w:hRule="exact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TSHB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338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191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219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9</w:t>
            </w:r>
          </w:p>
        </w:tc>
      </w:tr>
    </w:tbl>
    <w:p>
      <w:r>
        <w:br w:type="page"/>
      </w:r>
    </w:p>
    <w:p>
      <w:pPr>
        <w:pStyle w:val="Cuerpodetexto"/>
      </w:pPr>
      <w:r>
        <w:drawing>
          <wp:inline>
            <wp:extent cx="5943600" cy="4953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stand_plant_attribut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6. Plant and stand attributes</w:t>
      </w:r>
    </w:p>
    <w:p>
      <w:r>
        <w:br w:type="page"/>
      </w:r>
    </w:p>
    <w:p>
      <w:pPr>
        <w:pStyle w:val="Cuerpodetexto"/>
      </w:pPr>
      <w:r>
        <w:drawing>
          <wp:inline>
            <wp:extent cx="5943600" cy="7132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dataset_duratio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7. Datasets duration and period</w:t>
      </w:r>
    </w:p>
    <w:p>
      <w:r>
        <w:br w:type="page"/>
      </w:r>
    </w:p>
    <w:p>
      <w:pPr>
        <w:pStyle w:val="Cuerpodetexto"/>
      </w:pPr>
      <w:r>
        <w:drawing>
          <wp:inline>
            <wp:extent cx="5943600" cy="7132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fingerprint_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8. Temporal patterns.</w:t>
      </w:r>
    </w:p>
    <w:p>
      <w:r>
        <w:br w:type="page"/>
      </w:r>
    </w:p>
    <w:p>
      <w:pPr>
        <w:pStyle w:val="Cuerpodetexto"/>
      </w:pPr>
      <w:r>
        <w:t xml:space="preserve">Figure 9. Environmental variables</w:t>
      </w:r>
    </w:p>
    <w:p>
      <w:pPr>
        <w:pStyle w:val="SourceCode"/>
      </w:pPr>
      <w:r>
        <w:rPr>
          <w:rStyle w:val="VerbatimChar"/>
        </w:rPr>
        <w:t xml:space="preserve">## Warning: Ignoring unknown aesthetics: stat, position</w:t>
      </w:r>
    </w:p>
    <w:p>
      <w:pPr>
        <w:pStyle w:val="FirstParagraph"/>
      </w:pPr>
      <w:r>
        <w:drawing>
          <wp:inline>
            <wp:extent cx="5943600" cy="158495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environ_var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include_graphics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'resources/venn_test.tiff'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ources/venn_test.tif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100" w:charSpace="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">
    <w:nsid w:val="71315dca"/>
    <w:multiLevelType w:val="multilevel"/>
    <w:lvl w:ilvl="0">
      <w:start w:val="1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Cs w:val="24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Ttulo1">
    <w:name w:val="Heading 1"/>
    <w:basedOn w:val="Normal"/>
    <w:next w:val="Cuerpodetexto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1"/>
    </w:pPr>
    <w:rPr>
      <w:rFonts w:ascii="Liberation Serif" w:hAnsi="Liberation Serif" w:eastAsia="" w:cs="" w:cstheme="majorBidi" w:eastAsiaTheme="majorEastAsia"/>
      <w:b/>
      <w:bCs/>
      <w:color w:val="000000"/>
      <w:sz w:val="32"/>
      <w:szCs w:val="32"/>
    </w:rPr>
  </w:style>
  <w:style w:type="paragraph" w:styleId="Ttulo3">
    <w:name w:val="Heading 3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Ttulo4">
    <w:name w:val="Heading 4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Ttulo5">
    <w:name w:val="Heading 5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/>
      <w:iCs/>
      <w:color w:val="4F81BD" w:themeColor="accent1"/>
      <w:sz w:val="24"/>
      <w:szCs w:val="24"/>
    </w:rPr>
  </w:style>
  <w:style w:type="paragraph" w:styleId="Ttulo6">
    <w:name w:val="Heading 6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tulo7">
    <w:name w:val="Heading 7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tulo8">
    <w:name w:val="Heading 8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tulo9">
    <w:name w:val="Heading 9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link w:val="BodyTex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Ancladenotaalpie">
    <w:name w:val="Ancla de nota al pie"/>
    <w:rPr>
      <w:vertAlign w:val="superscript"/>
    </w:rPr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EnlacedeInternet">
    <w:name w:val="Enlace de Internet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color w:val="204A87"/>
      <w:shd w:fill="F8F8F8" w:val="clear"/>
    </w:rPr>
  </w:style>
  <w:style w:type="character" w:styleId="DataTypeTok" w:customStyle="1">
    <w:name w:val="DataTypeTok"/>
    <w:basedOn w:val="VerbatimChar"/>
    <w:qFormat/>
    <w:rPr>
      <w:color w:val="204A87"/>
      <w:shd w:fill="F8F8F8" w:val="clear"/>
    </w:rPr>
  </w:style>
  <w:style w:type="character" w:styleId="DecValTok" w:customStyle="1">
    <w:name w:val="DecValTok"/>
    <w:basedOn w:val="VerbatimChar"/>
    <w:qFormat/>
    <w:rPr>
      <w:color w:val="0000CF"/>
      <w:shd w:fill="F8F8F8" w:val="clear"/>
    </w:rPr>
  </w:style>
  <w:style w:type="character" w:styleId="BaseNTok" w:customStyle="1">
    <w:name w:val="BaseNTok"/>
    <w:basedOn w:val="VerbatimChar"/>
    <w:qFormat/>
    <w:rPr>
      <w:color w:val="0000CF"/>
      <w:shd w:fill="F8F8F8" w:val="clear"/>
    </w:rPr>
  </w:style>
  <w:style w:type="character" w:styleId="FloatTok" w:customStyle="1">
    <w:name w:val="FloatTok"/>
    <w:basedOn w:val="VerbatimChar"/>
    <w:qFormat/>
    <w:rPr>
      <w:color w:val="0000CF"/>
      <w:shd w:fill="F8F8F8" w:val="clear"/>
    </w:rPr>
  </w:style>
  <w:style w:type="character" w:styleId="ConstantTok" w:customStyle="1">
    <w:name w:val="ConstantTok"/>
    <w:basedOn w:val="VerbatimChar"/>
    <w:qFormat/>
    <w:rPr>
      <w:color w:val="000000"/>
      <w:shd w:fill="F8F8F8" w:val="clear"/>
    </w:rPr>
  </w:style>
  <w:style w:type="character" w:styleId="CharTok" w:customStyle="1">
    <w:name w:val="CharTok"/>
    <w:basedOn w:val="VerbatimChar"/>
    <w:qFormat/>
    <w:rPr>
      <w:color w:val="4E9A06"/>
      <w:shd w:fill="F8F8F8" w:val="clear"/>
    </w:rPr>
  </w:style>
  <w:style w:type="character" w:styleId="SpecialCharTok" w:customStyle="1">
    <w:name w:val="SpecialCharTok"/>
    <w:basedOn w:val="VerbatimChar"/>
    <w:qFormat/>
    <w:rPr>
      <w:color w:val="000000"/>
      <w:shd w:fill="F8F8F8" w:val="clear"/>
    </w:rPr>
  </w:style>
  <w:style w:type="character" w:styleId="StringTok" w:customStyle="1">
    <w:name w:val="StringTok"/>
    <w:basedOn w:val="VerbatimChar"/>
    <w:qFormat/>
    <w:rPr>
      <w:color w:val="4E9A06"/>
      <w:shd w:fill="F8F8F8" w:val="clear"/>
    </w:rPr>
  </w:style>
  <w:style w:type="character" w:styleId="VerbatimStringTok" w:customStyle="1">
    <w:name w:val="VerbatimStringTok"/>
    <w:basedOn w:val="VerbatimChar"/>
    <w:qFormat/>
    <w:rPr>
      <w:color w:val="4E9A06"/>
      <w:shd w:fill="F8F8F8" w:val="clear"/>
    </w:rPr>
  </w:style>
  <w:style w:type="character" w:styleId="SpecialStringTok" w:customStyle="1">
    <w:name w:val="SpecialStringTok"/>
    <w:basedOn w:val="VerbatimChar"/>
    <w:qFormat/>
    <w:rPr>
      <w:color w:val="4E9A06"/>
      <w:shd w:fill="F8F8F8" w:val="clear"/>
    </w:rPr>
  </w:style>
  <w:style w:type="character" w:styleId="ImportTok" w:customStyle="1">
    <w:name w:val="ImportTok"/>
    <w:basedOn w:val="VerbatimChar"/>
    <w:qFormat/>
    <w:rPr>
      <w:shd w:fill="F8F8F8" w:val="clear"/>
    </w:rPr>
  </w:style>
  <w:style w:type="character" w:styleId="CommentTok" w:customStyle="1">
    <w:name w:val="CommentTok"/>
    <w:basedOn w:val="VerbatimChar"/>
    <w:qFormat/>
    <w:rPr>
      <w:i/>
      <w:color w:val="8F5902"/>
      <w:shd w:fill="F8F8F8" w:val="clear"/>
    </w:rPr>
  </w:style>
  <w:style w:type="character" w:styleId="DocumentationTok" w:customStyle="1">
    <w:name w:val="DocumentationTok"/>
    <w:basedOn w:val="VerbatimChar"/>
    <w:qFormat/>
    <w:rPr>
      <w:i/>
      <w:color w:val="8F5902"/>
      <w:shd w:fill="F8F8F8" w:val="clear"/>
    </w:rPr>
  </w:style>
  <w:style w:type="character" w:styleId="AnnotationTok" w:customStyle="1">
    <w:name w:val="AnnotationTok"/>
    <w:basedOn w:val="VerbatimChar"/>
    <w:qFormat/>
    <w:rPr>
      <w:i/>
      <w:color w:val="8F5902"/>
      <w:shd w:fill="F8F8F8" w:val="clear"/>
    </w:rPr>
  </w:style>
  <w:style w:type="character" w:styleId="CommentVarTok" w:customStyle="1">
    <w:name w:val="CommentVarTok"/>
    <w:basedOn w:val="VerbatimChar"/>
    <w:qFormat/>
    <w:rPr>
      <w:i/>
      <w:color w:val="8F5902"/>
      <w:shd w:fill="F8F8F8" w:val="clear"/>
    </w:rPr>
  </w:style>
  <w:style w:type="character" w:styleId="OtherTok" w:customStyle="1">
    <w:name w:val="OtherTok"/>
    <w:basedOn w:val="VerbatimChar"/>
    <w:qFormat/>
    <w:rPr>
      <w:color w:val="8F5902"/>
      <w:shd w:fill="F8F8F8" w:val="clear"/>
    </w:rPr>
  </w:style>
  <w:style w:type="character" w:styleId="FunctionTok" w:customStyle="1">
    <w:name w:val="FunctionTok"/>
    <w:basedOn w:val="VerbatimChar"/>
    <w:qFormat/>
    <w:rPr>
      <w:color w:val="000000"/>
      <w:shd w:fill="F8F8F8" w:val="clear"/>
    </w:rPr>
  </w:style>
  <w:style w:type="character" w:styleId="VariableTok" w:customStyle="1">
    <w:name w:val="VariableTok"/>
    <w:basedOn w:val="VerbatimChar"/>
    <w:qFormat/>
    <w:rPr>
      <w:color w:val="000000"/>
      <w:shd w:fill="F8F8F8" w:val="clear"/>
    </w:rPr>
  </w:style>
  <w:style w:type="character" w:styleId="ControlFlowTok" w:customStyle="1">
    <w:name w:val="ControlFlowTok"/>
    <w:basedOn w:val="VerbatimChar"/>
    <w:qFormat/>
    <w:rPr>
      <w:color w:val="204A87"/>
      <w:shd w:fill="F8F8F8" w:val="clear"/>
    </w:rPr>
  </w:style>
  <w:style w:type="character" w:styleId="OperatorTok" w:customStyle="1">
    <w:name w:val="OperatorTok"/>
    <w:basedOn w:val="VerbatimChar"/>
    <w:qFormat/>
    <w:rPr>
      <w:color w:val="CE5C00"/>
      <w:shd w:fill="F8F8F8" w:val="clear"/>
    </w:rPr>
  </w:style>
  <w:style w:type="character" w:styleId="BuiltInTok" w:customStyle="1">
    <w:name w:val="BuiltInTok"/>
    <w:basedOn w:val="VerbatimChar"/>
    <w:qFormat/>
    <w:rPr>
      <w:shd w:fill="F8F8F8" w:val="clear"/>
    </w:rPr>
  </w:style>
  <w:style w:type="character" w:styleId="ExtensionTok" w:customStyle="1">
    <w:name w:val="ExtensionTok"/>
    <w:basedOn w:val="VerbatimChar"/>
    <w:qFormat/>
    <w:rPr>
      <w:shd w:fill="F8F8F8" w:val="clear"/>
    </w:rPr>
  </w:style>
  <w:style w:type="character" w:styleId="PreprocessorTok" w:customStyle="1">
    <w:name w:val="PreprocessorTok"/>
    <w:basedOn w:val="VerbatimChar"/>
    <w:qFormat/>
    <w:rPr>
      <w:i/>
      <w:color w:val="8F5902"/>
      <w:shd w:fill="F8F8F8" w:val="clear"/>
    </w:rPr>
  </w:style>
  <w:style w:type="character" w:styleId="AttributeTok" w:customStyle="1">
    <w:name w:val="AttributeTok"/>
    <w:basedOn w:val="VerbatimChar"/>
    <w:qFormat/>
    <w:rPr>
      <w:color w:val="C4A000"/>
      <w:shd w:fill="F8F8F8" w:val="clear"/>
    </w:rPr>
  </w:style>
  <w:style w:type="character" w:styleId="RegionMarkerTok" w:customStyle="1">
    <w:name w:val="RegionMarkerTok"/>
    <w:basedOn w:val="VerbatimChar"/>
    <w:qFormat/>
    <w:rPr>
      <w:shd w:fill="F8F8F8" w:val="clear"/>
    </w:rPr>
  </w:style>
  <w:style w:type="character" w:styleId="InformationTok" w:customStyle="1">
    <w:name w:val="InformationTok"/>
    <w:basedOn w:val="VerbatimChar"/>
    <w:qFormat/>
    <w:rPr>
      <w:i/>
      <w:color w:val="8F5902"/>
      <w:shd w:fill="F8F8F8" w:val="clear"/>
    </w:rPr>
  </w:style>
  <w:style w:type="character" w:styleId="WarningTok" w:customStyle="1">
    <w:name w:val="WarningTok"/>
    <w:basedOn w:val="VerbatimChar"/>
    <w:qFormat/>
    <w:rPr>
      <w:i/>
      <w:color w:val="8F5902"/>
      <w:shd w:fill="F8F8F8" w:val="clear"/>
    </w:rPr>
  </w:style>
  <w:style w:type="character" w:styleId="AlertTok" w:customStyle="1">
    <w:name w:val="AlertTok"/>
    <w:basedOn w:val="VerbatimChar"/>
    <w:qFormat/>
    <w:rPr>
      <w:color w:val="EF2929"/>
      <w:shd w:fill="F8F8F8" w:val="clear"/>
    </w:rPr>
  </w:style>
  <w:style w:type="character" w:styleId="ErrorTok" w:customStyle="1">
    <w:name w:val="ErrorTok"/>
    <w:basedOn w:val="VerbatimChar"/>
    <w:qFormat/>
    <w:rPr>
      <w:color w:val="A40000"/>
      <w:shd w:fill="F8F8F8" w:val="clear"/>
    </w:rPr>
  </w:style>
  <w:style w:type="character" w:styleId="NormalTok" w:customStyle="1">
    <w:name w:val="NormalTok"/>
    <w:basedOn w:val="VerbatimChar"/>
    <w:qFormat/>
    <w:rPr>
      <w:shd w:fill="F8F8F8" w:val="clear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link w:val="BodyTextChar"/>
    <w:qFormat/>
    <w:pPr>
      <w:spacing w:before="180" w:after="18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FirstParagraph" w:customStyle="1">
    <w:name w:val="First Paragraph"/>
    <w:basedOn w:val="Cuerpodetexto"/>
    <w:next w:val="Cuerpodetexto"/>
    <w:qFormat/>
    <w:pPr/>
    <w:rPr>
      <w:rFonts w:ascii="Liberation Serif" w:hAnsi="Liberation Serif"/>
    </w:rPr>
  </w:style>
  <w:style w:type="paragraph" w:styleId="Compact" w:customStyle="1">
    <w:name w:val="Compact"/>
    <w:basedOn w:val="Cuerpodetexto"/>
    <w:qFormat/>
    <w:pPr>
      <w:spacing w:before="36" w:after="36"/>
    </w:pPr>
    <w:rPr/>
  </w:style>
  <w:style w:type="paragraph" w:styleId="Titular">
    <w:name w:val="Title"/>
    <w:basedOn w:val="Normal"/>
    <w:next w:val="Cuerpodetexto"/>
    <w:qFormat/>
    <w:pPr>
      <w:keepNext w:val="true"/>
      <w:keepLines/>
      <w:spacing w:before="480" w:after="240"/>
      <w:jc w:val="center"/>
    </w:pPr>
    <w:rPr>
      <w:rFonts w:ascii="Liberation Serif" w:hAnsi="Liberation Serif" w:eastAsia="" w:cs="" w:cstheme="majorBidi" w:eastAsiaTheme="majorEastAsia"/>
      <w:b/>
      <w:bCs/>
      <w:color w:val="000000" w:themeShade="b5"/>
      <w:sz w:val="36"/>
      <w:szCs w:val="36"/>
    </w:rPr>
  </w:style>
  <w:style w:type="paragraph" w:styleId="Subttulo">
    <w:name w:val="Subtitle"/>
    <w:basedOn w:val="Titular"/>
    <w:next w:val="Cuerpodetexto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Cuerpodetexto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Date">
    <w:name w:val="Date"/>
    <w:next w:val="Cuerpodetexto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Abstract" w:customStyle="1">
    <w:name w:val="Abstract"/>
    <w:basedOn w:val="Normal"/>
    <w:next w:val="Cuerpodetexto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Cuerpodetexto"/>
    <w:next w:val="Cuerpodetexto"/>
    <w:uiPriority w:val="9"/>
    <w:unhideWhenUsed/>
    <w:qFormat/>
    <w:pPr>
      <w:spacing w:before="100" w:after="100"/>
      <w:ind w:hanging="0"/>
    </w:pPr>
    <w:rPr>
      <w:rFonts w:ascii="Calibri" w:hAnsi="Calibri" w:eastAsia="" w:cs="" w:asciiTheme="majorHAnsi" w:cstheme="majorBidi" w:eastAsiaTheme="majorEastAsia" w:hAnsiTheme="majorHAnsi"/>
      <w:bCs/>
      <w:sz w:val="20"/>
      <w:szCs w:val="20"/>
    </w:rPr>
  </w:style>
  <w:style w:type="paragraph" w:styleId="Notaalpie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Leyenda"/>
    <w:qFormat/>
    <w:pPr>
      <w:keepNext w:val="true"/>
    </w:pPr>
    <w:rPr/>
  </w:style>
  <w:style w:type="paragraph" w:styleId="ImageCaption" w:customStyle="1">
    <w:name w:val="Image Caption"/>
    <w:basedOn w:val="Leyenda"/>
    <w:qFormat/>
    <w:pPr/>
    <w:rPr/>
  </w:style>
  <w:style w:type="paragraph" w:styleId="Figura" w:customStyle="1">
    <w:name w:val="Figura"/>
    <w:basedOn w:val="Normal"/>
    <w:qFormat/>
    <w:pPr/>
    <w:rPr/>
  </w:style>
  <w:style w:type="paragraph" w:styleId="CaptionedFigure" w:customStyle="1">
    <w:name w:val="Captioned Figure"/>
    <w:basedOn w:val="Figura"/>
    <w:qFormat/>
    <w:pPr>
      <w:keepNext w:val="true"/>
    </w:pPr>
    <w:rPr/>
  </w:style>
  <w:style w:type="paragraph" w:styleId="TOCHeading">
    <w:name w:val="TOC Heading"/>
    <w:basedOn w:val="Ttulo1"/>
    <w:next w:val="Cuerpodetexto"/>
    <w:uiPriority w:val="39"/>
    <w:unhideWhenUsed/>
    <w:qFormat/>
    <w:pPr>
      <w:spacing w:lineRule="auto" w:line="259" w:before="240" w:after="0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>
      <w:shd w:val="clear" w:fill="F8F8F8"/>
    </w:pPr>
    <w:rPr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0" Target="media/rId40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5" Target="media/rId35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33" Target="media/rId33.svg" /><Relationship Type="http://schemas.openxmlformats.org/officeDocument/2006/relationships/image" Id="rId42" Target="media/rId42.tiff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Application>LibreOffice/6.3.4.2$Linux_X86_64 LibreOffice_project/30$Build-2</Application>
  <Pages>2</Pages>
  <Words>146</Words>
  <Characters>667</Characters>
  <CharactersWithSpaces>865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Figures for SAPFLUXNET data paper</dc:title>
  <dc:creator>R. Poyatos</dc:creator>
  <cp:keywords/>
  <dcterms:created xsi:type="dcterms:W3CDTF">2020-02-05T12:47:06Z</dcterms:created>
  <dcterms:modified xsi:type="dcterms:W3CDTF">2020-02-05T12:47:06Z</dcterms:modified>
</cp:coreProperties>
</file>