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5.png" ContentType="image/png"/>
  <Override PartName="/word/media/rId24.png" ContentType="image/png"/>
  <Override PartName="/word/media/rId26.png" ContentType="image/png"/>
  <Override PartName="/word/media/rId2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ular"/>
      </w:pPr>
      <w:r>
        <w:t xml:space="preserve">Global</w:t>
      </w:r>
      <w:r>
        <w:t xml:space="preserve"> </w:t>
      </w:r>
      <w:r>
        <w:t xml:space="preserve">transpiration</w:t>
      </w:r>
      <w:r>
        <w:t xml:space="preserve"> </w:t>
      </w:r>
      <w:r>
        <w:t xml:space="preserve">data</w:t>
      </w:r>
      <w:r>
        <w:t xml:space="preserve"> </w:t>
      </w:r>
      <w:r>
        <w:t xml:space="preserve">from</w:t>
      </w:r>
      <w:r>
        <w:t xml:space="preserve"> </w:t>
      </w:r>
      <w:r>
        <w:t xml:space="preserve">sap</w:t>
      </w:r>
      <w:r>
        <w:t xml:space="preserve"> </w:t>
      </w:r>
      <w:r>
        <w:t xml:space="preserve">flow</w:t>
      </w:r>
      <w:r>
        <w:t xml:space="preserve"> </w:t>
      </w:r>
      <w:r>
        <w:t xml:space="preserve">measurements:</w:t>
      </w:r>
      <w:r>
        <w:t xml:space="preserve"> </w:t>
      </w:r>
      <w:r>
        <w:t xml:space="preserve">the</w:t>
      </w:r>
      <w:r>
        <w:t xml:space="preserve"> </w:t>
      </w:r>
      <w:r>
        <w:t xml:space="preserve">SAPFLUXNET</w:t>
      </w:r>
      <w:r>
        <w:t xml:space="preserve"> </w:t>
      </w:r>
      <w:r>
        <w:t xml:space="preserve">database</w:t>
      </w:r>
    </w:p>
    <w:p>
      <w:pPr>
        <w:pStyle w:val="Subttulo"/>
      </w:pPr>
      <w:r>
        <w:t xml:space="preserve">Supplement</w:t>
      </w:r>
    </w:p>
    <w:p>
      <w:pPr>
        <w:pStyle w:val="Date"/>
      </w:pPr>
      <w:r>
        <w:t xml:space="preserve">05/06/2020</w:t>
      </w:r>
    </w:p>
    <w:p>
      <w:pPr>
        <w:pStyle w:val="Ttulo2"/>
      </w:pPr>
      <w:bookmarkStart w:id="20" w:name="table-captions"/>
      <w:r>
        <w:t xml:space="preserve">Table captions</w:t>
      </w:r>
      <w:bookmarkEnd w:id="20"/>
    </w:p>
    <w:p>
      <w:pPr>
        <w:pStyle w:val="FirstParagraph"/>
      </w:pPr>
      <w:r>
        <w:rPr>
          <w:b/>
        </w:rPr>
        <w:t xml:space="preserve">Table S1</w:t>
      </w:r>
      <w:r>
        <w:t xml:space="preserve"> </w:t>
      </w:r>
      <w:r>
        <w:t xml:space="preserve">Data checks implemented in the first level of data quality control</w:t>
      </w:r>
      <w:r>
        <w:t xml:space="preserve"> </w:t>
      </w:r>
      <w:r>
        <w:t xml:space="preserve">(QC1).</w:t>
      </w:r>
    </w:p>
    <w:p>
      <w:pPr>
        <w:pStyle w:val="Cuerpodetexto"/>
      </w:pPr>
      <w:r>
        <w:rPr>
          <w:b/>
        </w:rPr>
        <w:t xml:space="preserve">Table S2.</w:t>
      </w:r>
      <w:r>
        <w:t xml:space="preserve"> </w:t>
      </w:r>
      <w:r>
        <w:t xml:space="preserve">Description of site metadata variables.</w:t>
      </w:r>
    </w:p>
    <w:p>
      <w:pPr>
        <w:pStyle w:val="Cuerpodetexto"/>
      </w:pPr>
      <w:r>
        <w:rPr>
          <w:b/>
        </w:rPr>
        <w:t xml:space="preserve">Table S3.</w:t>
      </w:r>
      <w:r>
        <w:t xml:space="preserve"> </w:t>
      </w:r>
      <w:r>
        <w:t xml:space="preserve">Description of stand metadata variables.</w:t>
      </w:r>
    </w:p>
    <w:p>
      <w:pPr>
        <w:pStyle w:val="Cuerpodetexto"/>
      </w:pPr>
      <w:r>
        <w:rPr>
          <w:b/>
        </w:rPr>
        <w:t xml:space="preserve">Table S4.</w:t>
      </w:r>
      <w:r>
        <w:t xml:space="preserve"> </w:t>
      </w:r>
      <w:r>
        <w:t xml:space="preserve">Description of species metadata variables.</w:t>
      </w:r>
    </w:p>
    <w:p>
      <w:pPr>
        <w:pStyle w:val="Cuerpodetexto"/>
      </w:pPr>
      <w:r>
        <w:rPr>
          <w:b/>
        </w:rPr>
        <w:t xml:space="preserve">Table S5.</w:t>
      </w:r>
      <w:r>
        <w:t xml:space="preserve"> </w:t>
      </w:r>
      <w:r>
        <w:t xml:space="preserve">Description of plant metadata variables.</w:t>
      </w:r>
    </w:p>
    <w:p>
      <w:pPr>
        <w:pStyle w:val="Cuerpodetexto"/>
      </w:pPr>
      <w:r>
        <w:rPr>
          <w:b/>
        </w:rPr>
        <w:t xml:space="preserve">Table S6.</w:t>
      </w:r>
      <w:r>
        <w:t xml:space="preserve"> </w:t>
      </w:r>
      <w:r>
        <w:t xml:space="preserve">Description of environmental metadata variables.</w:t>
      </w:r>
    </w:p>
    <w:p>
      <w:pPr>
        <w:pStyle w:val="Cuerpodetexto"/>
      </w:pPr>
      <w:r>
        <w:rPr>
          <w:b/>
        </w:rPr>
        <w:t xml:space="preserve">Table S7.</w:t>
      </w:r>
      <w:r>
        <w:t xml:space="preserve"> </w:t>
      </w:r>
      <w:r>
        <w:t xml:space="preserve">Data checks implemented in the second level of data quality control</w:t>
      </w:r>
      <w:r>
        <w:t xml:space="preserve"> </w:t>
      </w:r>
      <w:r>
        <w:t xml:space="preserve">(QC2).</w:t>
      </w:r>
    </w:p>
    <w:p>
      <w:pPr>
        <w:pStyle w:val="Cuerpodetexto"/>
      </w:pPr>
      <w:r>
        <w:rPr>
          <w:b/>
        </w:rPr>
        <w:t xml:space="preserve">Table S8.</w:t>
      </w:r>
      <w:r>
        <w:t xml:space="preserve"> </w:t>
      </w:r>
      <w:r>
        <w:t xml:space="preserve">Datasets in the SAPFLUXNET database identified by numeric code,</w:t>
      </w:r>
      <w:r>
        <w:t xml:space="preserve"> </w:t>
      </w:r>
      <w:r>
        <w:t xml:space="preserve">dataset code and site name. Number of species per dataset, geographic coordinates</w:t>
      </w:r>
      <w:r>
        <w:t xml:space="preserve"> </w:t>
      </w:r>
      <w:r>
        <w:t xml:space="preserve">and elevation are also shown. Negative coordinate values are shown for Southern</w:t>
      </w:r>
      <w:r>
        <w:t xml:space="preserve"> </w:t>
      </w:r>
      <w:r>
        <w:t xml:space="preserve">and Western Hemispheres.</w:t>
      </w:r>
    </w:p>
    <w:p>
      <w:pPr>
        <w:pStyle w:val="Cuerpodetexto"/>
      </w:pPr>
      <w:r>
        <w:rPr>
          <w:b/>
        </w:rPr>
        <w:t xml:space="preserve">Table S9.</w:t>
      </w:r>
      <w:r>
        <w:t xml:space="preserve"> </w:t>
      </w:r>
      <w:r>
        <w:t xml:space="preserve">Number of plants and number of datasets for each species present</w:t>
      </w:r>
      <w:r>
        <w:t xml:space="preserve"> </w:t>
      </w:r>
      <w:r>
        <w:t xml:space="preserve">in the SAPFLUXNET database.</w:t>
      </w:r>
    </w:p>
    <w:p>
      <w:pPr>
        <w:pStyle w:val="Cuerpodetexto"/>
      </w:pPr>
      <w:r>
        <w:rPr>
          <w:b/>
        </w:rPr>
        <w:t xml:space="preserve">Table S10.</w:t>
      </w:r>
      <w:r>
        <w:t xml:space="preserve"> </w:t>
      </w:r>
      <w:r>
        <w:t xml:space="preserve">Number of plants per genus present in the SAPFLUXNET database.</w:t>
      </w:r>
    </w:p>
    <w:p>
      <w:pPr>
        <w:pStyle w:val="Ttulo2"/>
      </w:pPr>
      <w:bookmarkStart w:id="21" w:name="figure-captions"/>
      <w:r>
        <w:t xml:space="preserve">Figure captions</w:t>
      </w:r>
      <w:bookmarkEnd w:id="21"/>
    </w:p>
    <w:p>
      <w:pPr>
        <w:pStyle w:val="FirstParagraph"/>
      </w:pPr>
      <w:r>
        <w:rPr>
          <w:b/>
        </w:rPr>
        <w:t xml:space="preserve">Figure S1.</w:t>
      </w:r>
      <w:r>
        <w:t xml:space="preserve"> </w:t>
      </w:r>
      <w:r>
        <w:t xml:space="preserve">Overview of the data QC process, showing file management and</w:t>
      </w:r>
      <w:r>
        <w:t xml:space="preserve"> </w:t>
      </w:r>
      <w:r>
        <w:t xml:space="preserve">identifying automatic (in yellow) and manual steps (in red). The column on</w:t>
      </w:r>
      <w:r>
        <w:t xml:space="preserve"> </w:t>
      </w:r>
      <w:r>
        <w:t xml:space="preserve">the left shows the different updates of the status file for each dataset and</w:t>
      </w:r>
      <w:r>
        <w:t xml:space="preserve"> </w:t>
      </w:r>
      <w:r>
        <w:t xml:space="preserve">the column on the right shows generated data reports and steps requiring</w:t>
      </w:r>
      <w:r>
        <w:t xml:space="preserve"> </w:t>
      </w:r>
      <w:r>
        <w:t xml:space="preserve">feedback or manual changes.</w:t>
      </w:r>
    </w:p>
    <w:p>
      <w:pPr>
        <w:pStyle w:val="Cuerpodetexto"/>
      </w:pPr>
      <w:r>
        <w:rPr>
          <w:b/>
        </w:rPr>
        <w:t xml:space="preserve">Table S1</w:t>
      </w:r>
      <w:r>
        <w:t xml:space="preserve"> </w:t>
      </w:r>
      <w:r>
        <w:t xml:space="preserve">Data checks implemented in the first level of data quality control</w:t>
      </w:r>
      <w:r>
        <w:t xml:space="preserve"> </w:t>
      </w:r>
      <w:r>
        <w:t xml:space="preserve">(QC1).</w:t>
      </w:r>
    </w:p>
    <w:p>
      <w:pPr>
        <w:pStyle w:val="Cuerpodetexto"/>
      </w:pPr>
      <w:r>
        <w:rPr>
          <w:b/>
        </w:rPr>
        <w:t xml:space="preserve">Figure S2.</w:t>
      </w:r>
      <w:r>
        <w:t xml:space="preserve"> </w:t>
      </w:r>
      <w:r>
        <w:t xml:space="preserve">(a) Structure of sfn_data objects, which are based on the S4 class.</w:t>
      </w:r>
      <w:r>
        <w:t xml:space="preserve"> </w:t>
      </w:r>
      <w:r>
        <w:t xml:space="preserve">Boxes in the figure represent different slots where data are stored.</w:t>
      </w:r>
      <w:r>
        <w:t xml:space="preserve"> </w:t>
      </w:r>
      <w:r>
        <w:t xml:space="preserve">Each object is identified by the</w:t>
      </w:r>
      <w:r>
        <w:t xml:space="preserve"> </w:t>
      </w:r>
      <w:r>
        <w:t xml:space="preserve">‘</w:t>
      </w:r>
      <w:r>
        <w:t xml:space="preserve">si_code</w:t>
      </w:r>
      <w:r>
        <w:t xml:space="preserve">’</w:t>
      </w:r>
      <w:r>
        <w:t xml:space="preserve">, stored as a slot in the object,</w:t>
      </w:r>
      <w:r>
        <w:t xml:space="preserve"> </w:t>
      </w:r>
      <w:r>
        <w:t xml:space="preserve">with the format of a character vector. Slots storing time series of data and the</w:t>
      </w:r>
      <w:r>
        <w:t xml:space="preserve"> </w:t>
      </w:r>
      <w:r>
        <w:t xml:space="preserve">associated data flags are of class</w:t>
      </w:r>
      <w:r>
        <w:t xml:space="preserve"> </w:t>
      </w:r>
      <w:r>
        <w:t xml:space="preserve">‘</w:t>
      </w:r>
      <w:r>
        <w:t xml:space="preserve">tibble</w:t>
      </w:r>
      <w:r>
        <w:t xml:space="preserve">’</w:t>
      </w:r>
      <w:r>
        <w:t xml:space="preserve"> </w:t>
      </w:r>
      <w:r>
        <w:t xml:space="preserve">and have all the same number of</w:t>
      </w:r>
      <w:r>
        <w:t xml:space="preserve"> </w:t>
      </w:r>
      <w:r>
        <w:t xml:space="preserve">rows (</w:t>
      </w:r>
      <w:r>
        <w:rPr>
          <w:i/>
        </w:rPr>
        <w:t xml:space="preserve">i</w:t>
      </w:r>
      <w:r>
        <w:t xml:space="preserve">), corresponding to the the number of timesteps in the dataset and</w:t>
      </w:r>
      <w:r>
        <w:t xml:space="preserve"> </w:t>
      </w:r>
      <w:r>
        <w:t xml:space="preserve">labelled with two POSIXct timestamp vectors (TIMESTAMP, solar_TIMESTAMP).The slot</w:t>
      </w:r>
      <w:r>
        <w:t xml:space="preserve"> </w:t>
      </w:r>
      <w:r>
        <w:t xml:space="preserve">storing sap flow data,</w:t>
      </w:r>
      <w:r>
        <w:t xml:space="preserve"> </w:t>
      </w:r>
      <w:r>
        <w:t xml:space="preserve">‘</w:t>
      </w:r>
      <w:r>
        <w:t xml:space="preserve">sapf_data</w:t>
      </w:r>
      <w:r>
        <w:t xml:space="preserve">’</w:t>
      </w:r>
      <w:r>
        <w:t xml:space="preserve"> </w:t>
      </w:r>
      <w:r>
        <w:t xml:space="preserve">contains(</w:t>
      </w:r>
      <w:r>
        <w:rPr>
          <w:i/>
        </w:rPr>
        <w:t xml:space="preserve">j</w:t>
      </w:r>
      <w:r>
        <w:t xml:space="preserve">) columns and environmental data</w:t>
      </w:r>
      <w:r>
        <w:t xml:space="preserve"> </w:t>
      </w:r>
      <w:r>
        <w:t xml:space="preserve">(</w:t>
      </w:r>
      <w:r>
        <w:t xml:space="preserve">‘</w:t>
      </w:r>
      <w:r>
        <w:t xml:space="preserve">env_data</w:t>
      </w:r>
      <w:r>
        <w:t xml:space="preserve">’</w:t>
      </w:r>
      <w:r>
        <w:t xml:space="preserve">) contains</w:t>
      </w:r>
      <w:r>
        <w:t xml:space="preserve"> </w:t>
      </w:r>
      <w:r>
        <w:rPr>
          <w:i/>
        </w:rPr>
        <w:t xml:space="preserve">k</w:t>
      </w:r>
      <w:r>
        <w:t xml:space="preserve"> </w:t>
      </w:r>
      <w:r>
        <w:t xml:space="preserve">columns, corresponding to the number of environmental</w:t>
      </w:r>
      <w:r>
        <w:t xml:space="preserve"> </w:t>
      </w:r>
      <w:r>
        <w:t xml:space="preserve">variables present. Slots with the suffix</w:t>
      </w:r>
      <w:r>
        <w:t xml:space="preserve"> </w:t>
      </w:r>
      <w:r>
        <w:t xml:space="preserve">‘</w:t>
      </w:r>
      <w:r>
        <w:t xml:space="preserve">md</w:t>
      </w:r>
      <w:r>
        <w:t xml:space="preserve">’</w:t>
      </w:r>
      <w:r>
        <w:t xml:space="preserve"> </w:t>
      </w:r>
      <w:r>
        <w:t xml:space="preserve">refer to the different metadata and all are objects of</w:t>
      </w:r>
      <w:r>
        <w:t xml:space="preserve"> </w:t>
      </w:r>
      <w:r>
        <w:t xml:space="preserve">class</w:t>
      </w:r>
      <w:r>
        <w:t xml:space="preserve"> </w:t>
      </w:r>
      <w:r>
        <w:t xml:space="preserve">‘</w:t>
      </w:r>
      <w:r>
        <w:t xml:space="preserve">tibble</w:t>
      </w:r>
      <w:r>
        <w:t xml:space="preserve">’</w:t>
      </w:r>
      <w:r>
        <w:t xml:space="preserve"> </w:t>
      </w:r>
      <w:r>
        <w:t xml:space="preserve">with different dimensions. For example, the number of rows in</w:t>
      </w:r>
      <w:r>
        <w:t xml:space="preserve"> </w:t>
      </w:r>
      <w:r>
        <w:t xml:space="preserve">‘</w:t>
      </w:r>
      <w:r>
        <w:t xml:space="preserve">plant_md</w:t>
      </w:r>
      <w:r>
        <w:t xml:space="preserve">’</w:t>
      </w:r>
      <w:r>
        <w:t xml:space="preserve"> </w:t>
      </w:r>
      <w:r>
        <w:t xml:space="preserve">depends on the number of plants in the dataset (and this is depicted by the different</w:t>
      </w:r>
      <w:r>
        <w:t xml:space="preserve"> </w:t>
      </w:r>
      <w:r>
        <w:t xml:space="preserve">length of the box). More information on</w:t>
      </w:r>
      <w:r>
        <w:t xml:space="preserve"> </w:t>
      </w:r>
      <w:r>
        <w:t xml:space="preserve">the</w:t>
      </w:r>
      <w:r>
        <w:t xml:space="preserve"> </w:t>
      </w:r>
      <w:r>
        <w:t xml:space="preserve">‘</w:t>
      </w:r>
      <w:r>
        <w:t xml:space="preserve">sfn_data</w:t>
      </w:r>
      <w:r>
        <w:t xml:space="preserve">’</w:t>
      </w:r>
      <w:r>
        <w:t xml:space="preserve"> </w:t>
      </w:r>
      <w:r>
        <w:t xml:space="preserve">class objects can be found in the vignette</w:t>
      </w:r>
      <w:r>
        <w:t xml:space="preserve"> </w:t>
      </w:r>
      <w:r>
        <w:t xml:space="preserve">‘</w:t>
      </w:r>
      <w:r>
        <w:t xml:space="preserve">sfn-data-classes</w:t>
      </w:r>
      <w:r>
        <w:t xml:space="preserve">’</w:t>
      </w:r>
      <w:r>
        <w:t xml:space="preserve"> </w:t>
      </w:r>
      <w:r>
        <w:t xml:space="preserve">of the</w:t>
      </w:r>
      <w:r>
        <w:t xml:space="preserve"> </w:t>
      </w:r>
      <w:r>
        <w:t xml:space="preserve">package</w:t>
      </w:r>
      <w:r>
        <w:t xml:space="preserve"> </w:t>
      </w:r>
      <w:hyperlink r:id="rId22">
        <w:r>
          <w:rPr>
            <w:rStyle w:val="Hyperlink"/>
          </w:rPr>
          <w:t xml:space="preserve">sapfluxnetr</w:t>
        </w:r>
      </w:hyperlink>
      <w:r>
        <w:t xml:space="preserve">.</w:t>
      </w:r>
      <w:r>
        <w:br/>
      </w:r>
      <w:r>
        <w:t xml:space="preserve">(b) Summary of an sfn_data object, showing highlights of site metadata, data</w:t>
      </w:r>
      <w:r>
        <w:t xml:space="preserve"> </w:t>
      </w:r>
      <w:r>
        <w:t xml:space="preserve">dimensions, timestamp span and flags present on the data.</w:t>
      </w:r>
    </w:p>
    <w:p>
      <w:pPr>
        <w:pStyle w:val="Cuerpodetexto"/>
      </w:pPr>
      <w:r>
        <w:rPr>
          <w:b/>
        </w:rPr>
        <w:t xml:space="preserve">Figure S3.</w:t>
      </w:r>
      <w:r>
        <w:t xml:space="preserve"> </w:t>
      </w:r>
      <w:r>
        <w:t xml:space="preserve">Example screenshot of the app used for handling outliers and out of range values</w:t>
      </w:r>
      <w:r>
        <w:t xml:space="preserve"> </w:t>
      </w:r>
      <w:r>
        <w:t xml:space="preserve">in time series. The left column shows dataset and variable selection. The central part</w:t>
      </w:r>
      <w:r>
        <w:t xml:space="preserve"> </w:t>
      </w:r>
      <w:r>
        <w:t xml:space="preserve">shows the time series, with out of range values in red and possible outliers in yellow.</w:t>
      </w:r>
      <w:r>
        <w:t xml:space="preserve"> </w:t>
      </w:r>
      <w:r>
        <w:t xml:space="preserve">Rows to replace or remove are selected in a table and written to a text file when done.</w:t>
      </w:r>
    </w:p>
    <w:p>
      <w:pPr>
        <w:pStyle w:val="Cuerpodetexto"/>
      </w:pPr>
      <w:r>
        <w:rPr>
          <w:b/>
        </w:rPr>
        <w:t xml:space="preserve">Figure S4.</w:t>
      </w:r>
      <w:r>
        <w:t xml:space="preserve"> </w:t>
      </w:r>
      <w:r>
        <w:t xml:space="preserve">Detailed geographic distribution of SAPFLUXNET datasets. Datasets are</w:t>
      </w:r>
      <w:r>
        <w:t xml:space="preserve"> </w:t>
      </w:r>
      <w:r>
        <w:t xml:space="preserve">labelled by dataset number in Table S4. Woodland area from Crowther et al. (2015) shown in green.</w:t>
      </w:r>
    </w:p>
    <w:p>
      <w:pPr>
        <w:pStyle w:val="Cuerpodetexto"/>
      </w:pPr>
      <w:r>
        <w:rPr>
          <w:b/>
        </w:rPr>
        <w:t xml:space="preserve">Figure S5.</w:t>
      </w:r>
      <w:r>
        <w:t xml:space="preserve"> </w:t>
      </w:r>
      <w:r>
        <w:t xml:space="preserve">Wordcloud of treatments at the stand (a) and at the plant (b) levels.</w:t>
      </w:r>
    </w:p>
    <w:p>
      <w:r>
        <w:br w:type="page"/>
      </w:r>
    </w:p>
    <w:p>
      <w:pPr>
        <w:pStyle w:val="Cuerpodetexto"/>
      </w:pPr>
      <w:r>
        <w:drawing>
          <wp:inline>
            <wp:extent cx="4720510" cy="7620000"/>
            <wp:effectExtent b="0" l="0" r="0" t="0"/>
            <wp:docPr descr="Figure S1. Overview of the data QC process" title="" id="1" name="Picture"/>
            <a:graphic>
              <a:graphicData uri="http://schemas.openxmlformats.org/drawingml/2006/picture">
                <pic:pic>
                  <pic:nvPicPr>
                    <pic:cNvPr descr="resources/QC_summary2.png" id="0" name="Picture"/>
                    <pic:cNvPicPr>
                      <a:picLocks noChangeArrowheads="1" noChangeAspect="1"/>
                    </pic:cNvPicPr>
                  </pic:nvPicPr>
                  <pic:blipFill>
                    <a:blip r:embed="rId23"/>
                    <a:stretch>
                      <a:fillRect/>
                    </a:stretch>
                  </pic:blipFill>
                  <pic:spPr bwMode="auto">
                    <a:xfrm>
                      <a:off x="0" y="0"/>
                      <a:ext cx="4720510" cy="7620000"/>
                    </a:xfrm>
                    <a:prstGeom prst="rect">
                      <a:avLst/>
                    </a:prstGeom>
                    <a:noFill/>
                    <a:ln w="9525">
                      <a:noFill/>
                      <a:headEnd/>
                      <a:tailEnd/>
                    </a:ln>
                  </pic:spPr>
                </pic:pic>
              </a:graphicData>
            </a:graphic>
          </wp:inline>
        </w:drawing>
      </w:r>
      <w:r>
        <w:t xml:space="preserve"> </w:t>
      </w:r>
      <w:r>
        <w:rPr>
          <w:b/>
        </w:rPr>
        <w:t xml:space="preserve">Figure S1.</w:t>
      </w:r>
    </w:p>
    <w:p>
      <w:r>
        <w:br w:type="page"/>
      </w:r>
    </w:p>
    <w:p>
      <w:pPr>
        <w:pStyle w:val="TableCaption"/>
      </w:pPr>
      <w:r>
        <w:t xml:space="preserve">Table S1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792"/>
        <w:tblLook w:firstRow="1" w:lastRow="0" w:firstColumn="0" w:lastColumn="0" w:noHBand="0" w:noVBand="1"/>
      </w:tblPr>
      <w:tblGrid>
        <w:gridCol w:w="2592"/>
        <w:gridCol w:w="7200"/>
      </w:tblGrid>
      <w:tr>
        <w:trPr>
          <w:cantSplit/>
          <w:trHeight w:val="452"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Check</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Metadata variables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All metadata variables are checked for presence and expected class (numeric, character, logical…).</w:t>
            </w:r>
          </w:p>
        </w:tc>
      </w:tr>
      <w:tr>
        <w:trPr>
          <w:cantSplit/>
          <w:trHeight w:val="864"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 variables values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All metadata character variables are checked against the possible values (factor levels) for that variable, raising a warning if some value is out of the expected.</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E-mail check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E-mail provided by contributors is checked for validity</w:t>
            </w:r>
          </w:p>
        </w:tc>
      </w:tr>
      <w:tr>
        <w:trPr>
          <w:cantSplit/>
          <w:trHeight w:val="100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Coordinates and biome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coordinates are checked for correctness (are they inside the specified country?) and fixed if needed and possible. MAT and MAP values are obtained for that coordinates and the biome is calculated from that values.</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texture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Percentages of soil textures are used to calculate the USDA classification category if possible.</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Species names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Species names in plant and species metadata are checked for spelling errors and the concordance between both metadata is also checked</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treatments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Check for uniformity in the treatment declared by plant.</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Environmental variables presence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Check for concordance between the declared variables in the environmental metadata and the environmental data.</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Timestamp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Format, NA presence (there is data, but there is no timestamp), concordance and continuity are checked.</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Gap presence: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Data gaps (There is TIMESTAMP but there is no data) are summarised and visualized.</w:t>
            </w:r>
          </w:p>
        </w:tc>
      </w:tr>
      <w:tr>
        <w:trPr>
          <w:cantSplit/>
          <w:trHeight w:val="288" w:hRule="auto"/>
        </w:trPr>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water content</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Check for percentage swc values and transform them to cm3/cm3</w:t>
            </w:r>
          </w:p>
        </w:tc>
      </w:tr>
    </w:tbl>
    <w:p>
      <w:r>
        <w:br w:type="page"/>
      </w:r>
    </w:p>
    <w:p>
      <w:pPr>
        <w:pStyle w:val="Cuerpodetexto"/>
      </w:pPr>
      <w:r>
        <w:drawing>
          <wp:inline>
            <wp:extent cx="5750943" cy="7620000"/>
            <wp:effectExtent b="0" l="0" r="0" t="0"/>
            <wp:docPr descr="Figure S2. Structure of sfn_data objects" title="" id="1" name="Picture"/>
            <a:graphic>
              <a:graphicData uri="http://schemas.openxmlformats.org/drawingml/2006/picture">
                <pic:pic>
                  <pic:nvPicPr>
                    <pic:cNvPr descr="resources/schematics.png" id="0" name="Picture"/>
                    <pic:cNvPicPr>
                      <a:picLocks noChangeArrowheads="1" noChangeAspect="1"/>
                    </pic:cNvPicPr>
                  </pic:nvPicPr>
                  <pic:blipFill>
                    <a:blip r:embed="rId24"/>
                    <a:stretch>
                      <a:fillRect/>
                    </a:stretch>
                  </pic:blipFill>
                  <pic:spPr bwMode="auto">
                    <a:xfrm>
                      <a:off x="0" y="0"/>
                      <a:ext cx="5750943" cy="7620000"/>
                    </a:xfrm>
                    <a:prstGeom prst="rect">
                      <a:avLst/>
                    </a:prstGeom>
                    <a:noFill/>
                    <a:ln w="9525">
                      <a:noFill/>
                      <a:headEnd/>
                      <a:tailEnd/>
                    </a:ln>
                  </pic:spPr>
                </pic:pic>
              </a:graphicData>
            </a:graphic>
          </wp:inline>
        </w:drawing>
      </w:r>
      <w:r>
        <w:t xml:space="preserve"> </w:t>
      </w:r>
      <w:r>
        <w:rPr>
          <w:b/>
        </w:rPr>
        <w:t xml:space="preserve">Figure S2.</w:t>
      </w:r>
    </w:p>
    <w:p>
      <w:r>
        <w:br w:type="page"/>
      </w:r>
    </w:p>
    <w:p>
      <w:pPr>
        <w:pStyle w:val="TableCaption"/>
      </w:pPr>
      <w:r>
        <w:t xml:space="preserve">Table S2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648"/>
        <w:tblLook w:firstRow="1" w:lastRow="0" w:firstColumn="0" w:lastColumn="0" w:noHBand="0" w:noVBand="1"/>
      </w:tblPr>
      <w:tblGrid>
        <w:gridCol w:w="2592"/>
        <w:gridCol w:w="3600"/>
        <w:gridCol w:w="1728"/>
        <w:gridCol w:w="1728"/>
      </w:tblGrid>
      <w:tr>
        <w:trPr>
          <w:cantSplit/>
          <w:trHeight w:val="452"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Variable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Type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Units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name given by contributors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si_country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Country code (ISO)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si_contact_firstname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first 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si_contact_lastname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last 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si_contact_email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email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si_contact_institution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affiliation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si_addcontr_firstname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first 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si_addcontr_lastname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last 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si_addcontr_email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email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si_addcontr_institution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affiliation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si_lat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latitude (i.e. 42.36)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Latitude, decimal format (WGS84)</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si_long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longitude (i.e. -8.23)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Longitude, decimal format (WGS84)</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si_elev</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Elevation above sea level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meters</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si_paper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Paper with relevant information to understand the site as DOI links or DOI codes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DOI link</w:t>
            </w:r>
          </w:p>
        </w:tc>
      </w:tr>
      <w:tr>
        <w:trPr>
          <w:cantSplit/>
          <w:trHeight w:val="100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si_dist_mgmt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Recent and historic disturbance and management events that affected the measurement years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si_igbp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Vegetation type based on IGBP classification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si_flux_network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 indicating if site is participating in the FLUXNET network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si_dendro_network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 indicating if site is participating in the DENDROGLOBAL network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si_remarks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site-specific peculiarities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si_code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site code, unique for each site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si_mat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annual mean temperature, as obtained from WorldClim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Celsius degrees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si_map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annual mean precipitation, as obtained from WorldClim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mm</w:t>
            </w:r>
          </w:p>
        </w:tc>
      </w:tr>
      <w:tr>
        <w:trPr>
          <w:cantSplit/>
          <w:trHeight w:val="864"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si_biome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Biome classification as per Whittaker diagram, based on mat and map obtained from WorldClim</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calculated</w:t>
            </w:r>
          </w:p>
        </w:tc>
      </w:tr>
    </w:tbl>
    <w:p>
      <w:r>
        <w:br w:type="page"/>
      </w:r>
    </w:p>
    <w:p>
      <w:pPr>
        <w:pStyle w:val="TableCaption"/>
      </w:pPr>
      <w:r>
        <w:t xml:space="preserve">Table 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296"/>
        <w:tblLook w:firstRow="1" w:lastRow="0" w:firstColumn="0" w:lastColumn="0" w:noHBand="0" w:noVBand="1"/>
      </w:tblPr>
      <w:tblGrid>
        <w:gridCol w:w="3600"/>
        <w:gridCol w:w="3240"/>
        <w:gridCol w:w="1728"/>
        <w:gridCol w:w="1728"/>
      </w:tblGrid>
      <w:tr>
        <w:trPr>
          <w:cantSplit/>
          <w:trHeight w:val="452"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Type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Units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Variable</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Stand name given by contributors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st_name</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Growth condition with respect to stand origin and management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st_growth_condition</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Treatment applied at stand level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st_treatment</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Mean stand age at the moment of sap flow measurements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years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st_age</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Canopy height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meters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st_height</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Total stem density for stand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stems/ha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st_density</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Total stand basal area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m2/ha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st_basal_area</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Total maximum stand leaf area (one-sided, projected)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m2/m2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st_lai</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Aspect the stand is facing (exposure)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st_aspect</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Slope and/or relief of the stand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st_terrain</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total depth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st_soil_depth</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texture class, based on simplified USDA classification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st_soil_texture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sand content, % mass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st_sand_perc</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silt content, % mass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st_silt_perc</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clay content, % mass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st_clay_perc</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stand-specific peculiarities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st_remarks</w:t>
            </w:r>
          </w:p>
        </w:tc>
      </w:tr>
      <w:tr>
        <w:trPr>
          <w:cantSplit/>
          <w:trHeight w:val="288"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USDA soil classification based on the percentages provided by the contributor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calculated</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st_USDA_soil_texture</w:t>
            </w:r>
          </w:p>
        </w:tc>
      </w:tr>
    </w:tbl>
    <w:p>
      <w:r>
        <w:br w:type="page"/>
      </w:r>
    </w:p>
    <w:p>
      <w:pPr>
        <w:pStyle w:val="TableCaption"/>
      </w:pPr>
      <w:r>
        <w:t xml:space="preserve">Table S4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656"/>
        <w:tblLook w:firstRow="1" w:lastRow="0" w:firstColumn="0" w:lastColumn="0" w:noHBand="0" w:noVBand="1"/>
      </w:tblPr>
      <w:tblGrid>
        <w:gridCol w:w="3600"/>
        <w:gridCol w:w="1728"/>
        <w:gridCol w:w="3600"/>
        <w:gridCol w:w="1728"/>
      </w:tblGrid>
      <w:tr>
        <w:trPr>
          <w:cantSplit/>
          <w:trHeight w:val="452"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Type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Units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Variable</w:t>
            </w:r>
          </w:p>
        </w:tc>
      </w:tr>
      <w:tr>
        <w:trPr>
          <w:cantSplit/>
          <w:trHeight w:val="129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Identity of each measured species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Scientific name without author abbreviation, as accepted by The Plant List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sp_name</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Number of trees measured of each species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number of trees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sp_ntrees</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Leaf habit of the measured species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sp_leaf_habit</w:t>
            </w:r>
          </w:p>
        </w:tc>
      </w:tr>
      <w:tr>
        <w:trPr>
          <w:cantSplit/>
          <w:trHeight w:val="576"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Basal area occupied by each measured species, in percentage over total stand basal area</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sp_basal_area_perc</w:t>
            </w:r>
          </w:p>
        </w:tc>
      </w:tr>
    </w:tbl>
    <w:p>
      <w:r>
        <w:br w:type="page"/>
      </w:r>
    </w:p>
    <w:p>
      <w:pPr>
        <w:pStyle w:val="TableCaption"/>
      </w:pPr>
      <w:r>
        <w:t xml:space="preserve">Table S5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936"/>
        <w:tblLook w:firstRow="1" w:lastRow="0" w:firstColumn="0" w:lastColumn="0" w:noHBand="0" w:noVBand="1"/>
      </w:tblPr>
      <w:tblGrid>
        <w:gridCol w:w="3600"/>
        <w:gridCol w:w="1728"/>
        <w:gridCol w:w="2880"/>
        <w:gridCol w:w="1728"/>
      </w:tblGrid>
      <w:tr>
        <w:trPr>
          <w:cantSplit/>
          <w:trHeight w:val="452"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Type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Units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Variable</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code assigned by contributors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pl_name</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Species identity of the measured plant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Scientific name without author abbreviation, as accepted by The Plant List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pl_species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Experimental treatment (if any)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pl_treatment</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Diameter at breast height of measured plants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pl_dbh</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Height of measured plants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pl_height</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age at the moment of measure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years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pl_age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social status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pl_social</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Cross-sectional sapwood area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pl_sapw_area</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Sapwood depth, measured at breast height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pl_sapw_depth</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bark thickness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pl_bark_thick</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Leaf area of eachvvmeasured plant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pl_leaf_area</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measures method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pl_sens_meth</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measures sensor manufacturer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pl_sens_man</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Correction for natural temperature gradients method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pl_sens_cor_grad</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Zero flow determination method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pl_sens_cor_zero</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Was species-specific calibration used?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pl_sens_calib</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Uniformized sapfluxnet units for sapwood, leaf and plant level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pl_sap_units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Original contribution units (at sapwood or plant level)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pl_sap_units_orig</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Length of the needles or electrodes forming the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pl_sens_length</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Sensor installation height, measured from the ground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pl_sens_hgt</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Subdaily time step of sensor measures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minutes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pl_sens_timestep</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pl_radial_int</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pl_azimut_int</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plant-specific peculiarities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pl_remarks</w:t>
            </w:r>
          </w:p>
        </w:tc>
      </w:tr>
      <w:tr>
        <w:trPr>
          <w:cantSplit/>
          <w:trHeight w:val="576"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plant code, unique for each plant</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pl_code</w:t>
            </w:r>
          </w:p>
        </w:tc>
      </w:tr>
    </w:tbl>
    <w:p>
      <w:r>
        <w:br w:type="page"/>
      </w:r>
    </w:p>
    <w:p>
      <w:pPr>
        <w:pStyle w:val="TableCaption"/>
      </w:pPr>
      <w:r>
        <w:t xml:space="preserve">Table S6</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288"/>
        <w:tblLook w:firstRow="1" w:lastRow="0" w:firstColumn="0" w:lastColumn="0" w:noHBand="0" w:noVBand="1"/>
      </w:tblPr>
      <w:tblGrid>
        <w:gridCol w:w="2592"/>
        <w:gridCol w:w="3240"/>
        <w:gridCol w:w="1728"/>
        <w:gridCol w:w="1728"/>
      </w:tblGrid>
      <w:tr>
        <w:trPr>
          <w:cantSplit/>
          <w:trHeight w:val="452"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Variable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Type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Units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env_time_zone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Time zone of site used in the TIMESTAMPS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env_time_daylight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 daylight saving time applied to the original timestamp?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env_timestep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Subdaily timestep of environmental measures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minutes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air temperature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env_rh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relative humidity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env_vpd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relative vapour pressure decifit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env_sw_in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shortwave incoming radiation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env_ppfd_in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incoming photosynthetic photon flux density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env_netrad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net radiation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env_ws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wind speed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env_precip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precipitation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env_swc_shallow_depth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Average depth for shallow soil water content measures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env_swc_deep_depth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Average depth for deep soil water content measures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env_plant_watpot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Availability of water potential values for the same measured plants during the sap flow measurements period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env_leafarea_seasonal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Availability of seasonal course leaf area data and level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1008"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env_remarks</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environmental-specific peculiarities</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bl>
    <w:p>
      <w:r>
        <w:br w:type="page"/>
      </w:r>
    </w:p>
    <w:p>
      <w:pPr>
        <w:pStyle w:val="TableCaption"/>
      </w:pPr>
      <w:r>
        <w:t xml:space="preserve">Table S7</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792"/>
        <w:tblLook w:firstRow="1" w:lastRow="0" w:firstColumn="0" w:lastColumn="0" w:noHBand="0" w:noVBand="1"/>
      </w:tblPr>
      <w:tblGrid>
        <w:gridCol w:w="2592"/>
        <w:gridCol w:w="7200"/>
      </w:tblGrid>
      <w:tr>
        <w:trPr>
          <w:cantSplit/>
          <w:trHeight w:val="452"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Data check</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units harmonisation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expressed in cm3 h-1, sap flow per unit leaf/sapwood area in cm3 cm-2 h-1</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Out of range detection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Out of range values are flagged automatically, examined in a visual app and removed if confirmed</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Outlier detection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Outliers are flagged automatically, examined in a visual app and removed if confirmed</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Radiation transformations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Interconversion between global radiation (sw_in) and photosynthetically active radiation (ppfd_in)</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VPD and relative humidity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Interconversion between VPD and relative humidity</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Extraterrestrial radiation and solar timestamp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Calculation of extraterrestrial radiation and solar timestamp from timestamp and geographical data</w:t>
            </w:r>
          </w:p>
        </w:tc>
      </w:tr>
      <w:tr>
        <w:trPr>
          <w:cantSplit/>
          <w:trHeight w:val="1008"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interconversions</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When sapwood or leaf areas were available, interconversions were applied between the different expression levels for sap flow (per plant, per sapwood area or per leaf area)</w:t>
            </w:r>
          </w:p>
        </w:tc>
      </w:tr>
    </w:tbl>
    <w:p>
      <w:r>
        <w:br w:type="page"/>
      </w:r>
    </w:p>
    <w:p>
      <w:pPr>
        <w:pStyle w:val="Cuerpodetexto"/>
      </w:pPr>
      <w:r>
        <w:drawing>
          <wp:inline>
            <wp:extent cx="5943600" cy="2841783"/>
            <wp:effectExtent b="0" l="0" r="0" t="0"/>
            <wp:docPr descr="Figure S3. Screenshot of the data cleaning app" title="" id="1" name="Picture"/>
            <a:graphic>
              <a:graphicData uri="http://schemas.openxmlformats.org/drawingml/2006/picture">
                <pic:pic>
                  <pic:nvPicPr>
                    <pic:cNvPr descr="resources/out_app.png" id="0" name="Picture"/>
                    <pic:cNvPicPr>
                      <a:picLocks noChangeArrowheads="1" noChangeAspect="1"/>
                    </pic:cNvPicPr>
                  </pic:nvPicPr>
                  <pic:blipFill>
                    <a:blip r:embed="rId25"/>
                    <a:stretch>
                      <a:fillRect/>
                    </a:stretch>
                  </pic:blipFill>
                  <pic:spPr bwMode="auto">
                    <a:xfrm>
                      <a:off x="0" y="0"/>
                      <a:ext cx="5943600" cy="2841783"/>
                    </a:xfrm>
                    <a:prstGeom prst="rect">
                      <a:avLst/>
                    </a:prstGeom>
                    <a:noFill/>
                    <a:ln w="9525">
                      <a:noFill/>
                      <a:headEnd/>
                      <a:tailEnd/>
                    </a:ln>
                  </pic:spPr>
                </pic:pic>
              </a:graphicData>
            </a:graphic>
          </wp:inline>
        </w:drawing>
      </w:r>
      <w:r>
        <w:t xml:space="preserve"> </w:t>
      </w:r>
      <w:r>
        <w:rPr>
          <w:b/>
        </w:rPr>
        <w:t xml:space="preserve">Figure S3.</w:t>
      </w:r>
    </w:p>
    <w:p>
      <w:r>
        <w:br w:type="page"/>
      </w:r>
    </w:p>
    <w:p>
      <w:pPr>
        <w:pStyle w:val="TableCaption"/>
      </w:pPr>
      <w:r>
        <w:t xml:space="preserve">Table S8</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080"/>
        <w:tblLook w:firstRow="1" w:lastRow="0" w:firstColumn="0" w:lastColumn="0" w:noHBand="0" w:noVBand="1"/>
      </w:tblPr>
      <w:tblGrid>
        <w:gridCol w:w="576"/>
        <w:gridCol w:w="2448"/>
        <w:gridCol w:w="3600"/>
        <w:gridCol w:w="864"/>
        <w:gridCol w:w="864"/>
        <w:gridCol w:w="864"/>
        <w:gridCol w:w="864"/>
      </w:tblGrid>
      <w:tr>
        <w:trPr>
          <w:cantSplit/>
          <w:trHeight w:val="454"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Dataset code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Site name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Lat.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Long.</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Elev.</w:t>
              <w:br/>
              <w:t xml:space="preserve"> (m)</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spp.</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ARG_MAZ</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Mazaruca_Patagonia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ARG_TRE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Tres Marias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AUS_BRI_BRI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Britannia Creek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-37.87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AUS_CAN_ST1_EUC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Cann 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AUS_CAN_ST2_MIX</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Cann 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AUS_CAN_ST3_ACA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Cann 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AUS_CAR_THI_00F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AUS_CAR_THI_0P0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AUS_CAR_THI_0PF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AUS_CAR_THI_T0F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AUS_CAR_THI_TP0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AUS_CAR_THI_TPF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AUS_ELL_HB_HIG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AUS_ELL_MB_MOD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AUS_ELL_UNB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737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AUS_KAR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Karijini NP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AUS_MAR_HSD_HIG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AUS_MAR_HSW_HIG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AUS_MAR_MSD_MOD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AUS_MAR_MSW_MOD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AUS_MAR_UBD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AUS_MAR_UBW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AUS_RIC_EUC_ELE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Richmond NSW EucFACE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AUS_WOM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WombatStateForest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-37.42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144.09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AUT_PAT_FOR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Patscherkofel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AUT_PAT_KRU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Patscherkofel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AUT_PAT_TRE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Patscherkofel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AUT_TSC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Tschirgant south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BRA_CAM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Campos do Jordão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BRA_CAX_CON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Caxiuana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BRA_SAN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Santa Virgínia (PESM)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CAN_TUR_P39_POS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CAN_TUR_P39_PRE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CAN_TUR_P74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CHE_DAV_SEE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Davos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CHE_LOT_NOR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Lotschental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7.76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CHE_PFY_CON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Pfynwald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CHE_PFY_IRR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Pfynwald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CHN_ARG_GWD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CHN_ARG_GWS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CHN_HOR_AFF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Horqin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122.37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CHN_YIN_ST1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Yingbazar </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CHN_YIN_ST2_DRO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Yingbazar </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CHN_YIN_ST3_DRO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Yingbazar </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CHN_YUN_YUN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Yunxiao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117.42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COL_MAC_SAF_RAD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Macagual Universidad de la Amazonia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CRI_TAM_TOW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TAMU Soltis Center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-84.63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CZE_BIK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Bik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CZE_BIL_BIL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Bilovice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CZE_KRT_KRT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Krtiny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CZE_LAN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Lanžhot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CZE_LIZ_LES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Liz</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CZE_RAJ_RAJ</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Rajec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CZE_SOB_SOB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Sobesice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CZE_STI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Stitna nad Vlari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CZE_UTE_BEE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CZE_UTE_BNA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CZE_UTE_BPO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CZE_UTE_SPR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DEU_HIN_OAK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Hinnensee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DEU_HIN_TER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Hinnensee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DEU_MER_BEE_NON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DEU_MER_BEE_THI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DEU_MER_DOU_NON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DEU_MER_DOU_THI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DEU_MER_MIX_NON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DEU_MER_MIX_THI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DEU_STE_2P3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Stechlin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DEU_STE_4P5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Stechlin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ESP_ALT_ARM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Alto Tajo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ESP_ALT_HUE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Alto Tajo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ESP_ALT_TRI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Alto Tajo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ESP_CAN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 Balasc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ESP_GUA_VAL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Guadarrama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ESP_LAH_COM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LaHarina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ESP_LAS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Las Canadas, Teide natinal park tenerife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28.31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ESP_MAJ_MAI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Majadas del Tietar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ESP_MAJ_NOR_LM1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Majadas del Tietar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ESP_MON_SIE_NAT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Montejo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ESP_RIN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Rinconada experimental catchment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ESP_RON_PIL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Ronda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ESP_SAN_A_45I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ESP_SAN_A2_45I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ESP_SAN_B_100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ESP_SAN_B2_100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ESP_TIL_MIX</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Tillar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ESP_TIL_OAK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Tillar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ESP_TIL_PIN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Tillar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ESP_VAL_BAR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Vallcebre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ESP_VAL_SOR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Vallcebre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ESP_YUN_C1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ESP_YUN_C2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ESP_YUN_T1_THI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ESP_YUN_T3_THI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FIN_HYY_SME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Hyytiala Forest Field Station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FIN_PET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Petsikko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FRA_FON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Fontainebleau-Barbeau</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FRA_HES_HE1_NON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Hesse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FRA_HES_HE2_NON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Hesse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FRA_PUE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Puechabon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GBR_ABE_PLO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Aberfeldy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GBR_DEV_CON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Devilla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GBR_DEV_DRO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Devilla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GBR_GUI_ST1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Guisachan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GBR_GUI_ST2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Guisachan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GBR_GUI_ST3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Guisachan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GUF_GUY_GUY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Guyaflux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GUF_GUY_ST2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Guyaflux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-52.91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GUF_NOU_PET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Nouragues station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HUN_SIK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Sikfokut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IDN_JAM_OIL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Jambi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IDN_JAM_RUB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Jambi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IDN_PON_STE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Pono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ISR_YAT_YAT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Yatir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ITA_FEI_S17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Feichtwald-Matsch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ITA_KAE_S20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Kaelbergangl-Matsch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ITA_MAT_S21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Matscher Alm-Matsch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ITA_MUN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Muntatschinig-Matsch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ITA_REN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Renon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46.59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ITA_RUN_N20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Runer Koepfl-Matsch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ITA_TOR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Torgnon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JPN_EBE_HYB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Ebetsu</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141.52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JPN_EBE_SUG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Ebetsu</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141.52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KOR_TAE_TC1_LOW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Taehwa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KOR_TAE_TC2_MED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Taehwa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KOR_TAE_TC3_EXT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Taehwa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MDG_SEM_TAL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Semi-mature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MDG_YOU_SHO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Young secondary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MEX_COR_YP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Cortadura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-97.04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MEX_VER_BSJ</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VERACRUZ_BSJ</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-96.98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MEX_VER_BSM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VERACRUZ_BSM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NLD_LOO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Loobos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NLD_SPE_DOU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Speulderbos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NZL_HUA_HUA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Huapai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PRT_LEZ_ARN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LEZIRIAS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38.83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PRT_MIT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MITRA 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38.54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PRT_PIN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Pinheiro da Cruz</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-8.76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RUS_CHE_LOW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Cherskii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68.74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161.50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RUS_CHE_Y4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68.74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161.41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RUS_FYO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Fyodorovskoye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56.46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RUS_POG_VAR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Pogorelsky Bor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92.95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SEN_SOU_IRR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Souilène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SEN_SOU_POS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Souilène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SEN_SOU_PRE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Souilène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SWE_NOR_ST1_AF1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SWE_NOR_ST1_AF2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SWE_NOR_ST1_BEF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SWE_NOR_ST4_AFT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SWE_NOR_ST4_BEF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SWE_NOR_ST5_REF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SWE_SKO_MIN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Skogaryd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SWE_SKY_38Y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Skyttorp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SWE_SKY_68Y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Skyttorp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SWE_SVA_MIX_NON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Svartberget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THA_KHU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Khu-Muang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USA_BNZ_BLA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BNZSPRC1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-148.32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USA_CHE_ASP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USA_CHE_MAP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USA_DUK_HAR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Duke Blackwood Hardwood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36.98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USA_HIL_HF1_POS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Hill Demonstration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USA_HIL_HF1_PRE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Hill Demonstration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USA_HIL_HF2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Hill Demonstration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USA_HUY_LIN_NON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Huyck Preserve  Lincoln Pond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USA_INM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INMMSF</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USA_MOR_SF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Morgan-Monroe State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USA_NWH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NWhiteRiver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-91.26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USA_ORN_ST1_AMB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USA_ORN_ST2_AMB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USA_ORN_ST3_ELE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USA_ORN_ST4_ELE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USA_PAR_FER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Parker Tract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USA_PER_PER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Perry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-83.87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USA_PJS_P04_AMB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PJSEV -Rainfall Manipulation Experiment - Sevilleta NWR, USA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USA_PJS_P08_AMB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PJSEV -Rainfall Manipulation Experiment - Sevilleta NWR, USA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USA_PJS_P12_AMB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PJSEV -Rainfall Manipulation Experiment - Sevilleta NWR, USA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USA_SIL_OAK_1PR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Silas Little Experimental Forest premortality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USA_SIL_OAK_2PR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Silas Little Experimental Forest premortality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USA_SIL_OAK_POS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Silas Little Experimental Forest premortality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USA_SMI_SCB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Smithsonian Conservation Biology Insitute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USA_SMI_SER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Smithsonian Environmental Research Center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USA_SWH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SWhiteRiver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-91.13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USA_SYL_HL1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Sylvania Wilderness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USA_SYL_HL2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Sylvania Wilderness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TNBSF</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36.47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TNOAK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TNPINE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TNYPOP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USA_UMB_CON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UMBS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USA_UMB_GIR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UMB</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USA_WIL_WC1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Willow Creek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USA_WIL_WC2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Willow Creek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USA_WVF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WVFEF</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UZB_YAN_DIS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Yangibazar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ZAF_FRA_FRA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Franshoek South Africa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-33.88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ZAF_NOO_E3_IRR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Nooitgedacht farm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ZAF_RAD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Radyn EGVV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ZAF_SOU_SOU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Southfield EGVV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ZAF_WEL_SOR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Wellington Western Cape</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-33.48</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18.96</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bl>
    <w:p>
      <w:r>
        <w:br w:type="page"/>
      </w:r>
    </w:p>
    <w:p>
      <w:pPr>
        <w:pStyle w:val="Cuerpodetexto"/>
      </w:pPr>
      <w:r>
        <w:drawing>
          <wp:inline>
            <wp:extent cx="5943600" cy="7132320"/>
            <wp:effectExtent b="0" l="0" r="0" t="0"/>
            <wp:docPr descr="Figure S4. Detailed geographic distribution of SAPFLUXNET datasets" title="" id="1" name="Picture"/>
            <a:graphic>
              <a:graphicData uri="http://schemas.openxmlformats.org/drawingml/2006/picture">
                <pic:pic>
                  <pic:nvPicPr>
                    <pic:cNvPr descr="supporting_files/figure-docx/regional_maps-1.png" id="0" name="Picture"/>
                    <pic:cNvPicPr>
                      <a:picLocks noChangeArrowheads="1" noChangeAspect="1"/>
                    </pic:cNvPicPr>
                  </pic:nvPicPr>
                  <pic:blipFill>
                    <a:blip r:embed="rId26"/>
                    <a:stretch>
                      <a:fillRect/>
                    </a:stretch>
                  </pic:blipFill>
                  <pic:spPr bwMode="auto">
                    <a:xfrm>
                      <a:off x="0" y="0"/>
                      <a:ext cx="5943600" cy="7132320"/>
                    </a:xfrm>
                    <a:prstGeom prst="rect">
                      <a:avLst/>
                    </a:prstGeom>
                    <a:noFill/>
                    <a:ln w="9525">
                      <a:noFill/>
                      <a:headEnd/>
                      <a:tailEnd/>
                    </a:ln>
                  </pic:spPr>
                </pic:pic>
              </a:graphicData>
            </a:graphic>
          </wp:inline>
        </w:drawing>
      </w:r>
      <w:r>
        <w:t xml:space="preserve"> </w:t>
      </w:r>
      <w:r>
        <w:rPr>
          <w:b/>
        </w:rPr>
        <w:t xml:space="preserve">Figure S4.</w:t>
      </w:r>
    </w:p>
    <w:p>
      <w:r>
        <w:br w:type="page"/>
      </w:r>
    </w:p>
    <w:p>
      <w:pPr>
        <w:pStyle w:val="TableCaption"/>
      </w:pPr>
      <w:r>
        <w:t xml:space="preserve">Table S9</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368"/>
        <w:tblLook w:firstRow="1" w:lastRow="0" w:firstColumn="0" w:lastColumn="0" w:noHBand="0" w:noVBand="1"/>
      </w:tblPr>
      <w:tblGrid>
        <w:gridCol w:w="1872"/>
        <w:gridCol w:w="864"/>
        <w:gridCol w:w="720"/>
        <w:gridCol w:w="1872"/>
        <w:gridCol w:w="864"/>
        <w:gridCol w:w="720"/>
        <w:gridCol w:w="1872"/>
        <w:gridCol w:w="864"/>
        <w:gridCol w:w="720"/>
      </w:tblGrid>
      <w:tr>
        <w:trPr>
          <w:cantSplit/>
          <w:trHeight w:val="309"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data</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data</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data</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sylvestris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tortilis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Prunus serotina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abies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spp.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canescens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 saccharum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Kandelia obovata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camaldulensis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 sylvatica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Carpinus betulus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 rosea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taeda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Castanopsis acuminatissima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alba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tremuloides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patula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dives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koraiensis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radiata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octandra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nitens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pubescens subsp. czerepanovii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Swartzia racemosa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strobus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Avicennia marina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Manilkara bidentata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Liquidambar styraciflua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robur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membranacea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ilex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excelsior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grandiflora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 rubrum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 laevigata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viridis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Liriodendron tulipifera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Myrtaceae fam.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Ampelocera macrocarpa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 grandifolia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Palaquium luzoniense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Otoba novogranatensis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resinosa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Platea excelsa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Mortoniodendron anisophyllum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globulus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firma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Meliosma idiopoda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decidua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Agathis australis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Taxus baccata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 pinsapo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Ostrya virginiana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Sloanea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mearnsii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mariana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pyrenaica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pumilio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glauca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rubra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cunninghamii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petraea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cypellocarpa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cordiformis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Pseudotsuga menziesii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rubida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prinus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halepensis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Drimys brasiliensis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Elaeagnus angustifolia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velutina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Alchornea triplinervia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 tricolor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Tsuga canadensis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Santiria apiculata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Lecythis poiteaui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cajanderi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michauxii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cerris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papyrifera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phellos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Pleuranthodendron lindenii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montana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rigida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Inga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pubescens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Tilia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Cupania macrophylla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 balsamea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antarctica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Genipa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alba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baxteri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Brosimum alicastrum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cembra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Coprosma quadrifida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euphratica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coriacea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Macrolobium costaricense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Olea europaea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Arbutus unedo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rotundifolia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Psiadia altissima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Aspidosperma desmanthum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Hevea brasiliensis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suber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Trophis mexicana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alleghaniensis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pubescens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pendula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nigra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pennsylvanica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Iryanthera sagotiana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sitchensis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anomala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Vantanea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edulis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Protium tenuifolium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Recordoxylon speciosum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Juniperus monosperma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Hieronyma alchorneoides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kaempferi x Larix gmelinii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victrix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Mollinedia schottiana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Cryptomeria japonica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obliqua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Rustia formosa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Eugenia spp.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lyrata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Theobroma cacao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Ocotea samosa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Celtis laevigata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Carapa guianensis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Leptolaena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coccinea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Gymnanthes riparia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Abrahamia ditimena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grandidentata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Ilex aquifolium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Brachylaena ramiflora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Malus domestica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Vouacapoua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tereticornis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Oxandra asbeckii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Saurauia pedunculata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faginea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Goupia glabra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Turpinia insignis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canariensis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Vernonia arborea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Sassafras albidum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Elaeis guineensis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Platanus mexicana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Ulmus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longifolia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Clethra macrophylla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glabra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pinaster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sibirica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falcata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Thuja occidentalis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gmelinii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Cornus florida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tomentosa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sibirica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rodriguesii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Dicorynia guianensis</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virginiana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Sextonia rubra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bl>
    <w:p>
      <w:r>
        <w:br w:type="page"/>
      </w:r>
    </w:p>
    <w:p>
      <w:pPr>
        <w:pStyle w:val="TableCaption"/>
      </w:pPr>
      <w:r>
        <w:t xml:space="preserve">Table S10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8840"/>
        <w:tblLook w:firstRow="1" w:lastRow="0" w:firstColumn="0" w:lastColumn="0" w:noHBand="0" w:noVBand="1"/>
      </w:tblPr>
      <w:tblGrid>
        <w:gridCol w:w="1551"/>
        <w:gridCol w:w="1000"/>
        <w:gridCol w:w="1783"/>
        <w:gridCol w:w="1184"/>
        <w:gridCol w:w="2138"/>
        <w:gridCol w:w="1184"/>
      </w:tblGrid>
      <w:tr>
        <w:trPr>
          <w:cantSplit/>
          <w:trHeight w:val="313"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Genus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Genus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Genus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plants</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Ampelocera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Avicennia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Otoba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Myrtaceae fam.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Mortoniodendron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Palaquium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Meliosma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Taxus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Agathis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Sloanea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Ostrya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Elaeagnus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Liquidambar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Drimys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Lecythis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Alchornea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Pleuranthodendron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Santiria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Inga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Tilia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Cupania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Genipa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Liriodendron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Coprosma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Brosimum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Pseudotsuga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Arbutus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Macrolobium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Tsuga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Psiadia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Aspidosperma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Olea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Protium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Trophis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Hevea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Hieronyma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Iryanthera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Juniperus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Mollinedia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Vantanea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Rustia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Recordoxylon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Theobroma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Cryptomeria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Celtis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Carapa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Eugenia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Gymnanthes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Ocotea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Ilex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Leptolaena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Vouacapoua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Abrahamia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Oxandra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Brachylaena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Thuja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Goupia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Saurauia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Dicorynia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Vernonia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Turpinia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Platanus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Sassafras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Kandelia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Clethra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Ulmus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Carpinus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Prunus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Cornus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Castanopsis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Swartzia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Sextonia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Manilkara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r>
    </w:tbl>
    <w:p>
      <w:r>
        <w:br w:type="page"/>
      </w:r>
    </w:p>
    <w:p>
      <w:pPr>
        <w:pStyle w:val="Cuerpodetexto"/>
      </w:pPr>
      <w:r>
        <w:drawing>
          <wp:inline>
            <wp:extent cx="5943600" cy="5943600"/>
            <wp:effectExtent b="0" l="0" r="0" t="0"/>
            <wp:docPr descr="" title="" id="1" name="Picture"/>
            <a:graphic>
              <a:graphicData uri="http://schemas.openxmlformats.org/drawingml/2006/picture">
                <pic:pic>
                  <pic:nvPicPr>
                    <pic:cNvPr descr="supporting_files/figure-docx/wordclouds_treatments-1.png" id="0" name="Picture"/>
                    <pic:cNvPicPr>
                      <a:picLocks noChangeArrowheads="1" noChangeAspect="1"/>
                    </pic:cNvPicPr>
                  </pic:nvPicPr>
                  <pic:blipFill>
                    <a:blip r:embed="rId27"/>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rPr>
          <w:b/>
        </w:rPr>
        <w:t xml:space="preserve">Figure S5.</w:t>
      </w:r>
    </w:p>
    <w:sectPr>
      <w:type w:val="nextPage"/>
      <w:pgSz w:w="12240" w:h="15840"/>
      <w:pgMar w:left="1440" w:right="1440" w:header="0" w:top="1440" w:footer="0" w:bottom="1440" w:gutter="0"/>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Ttulo1">
    <w:name w:val="Heading 1"/>
    <w:basedOn w:val="Normal"/>
    <w:next w:val="Cuerpodetexto"/>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Ttulo2">
    <w:name w:val="Heading 2"/>
    <w:basedOn w:val="Normal"/>
    <w:next w:val="Cuerpodetexto"/>
    <w:uiPriority w:val="9"/>
    <w:unhideWhenUsed/>
    <w:qFormat/>
    <w:pPr>
      <w:keepNext w:val="true"/>
      <w:keepLines/>
      <w:spacing w:before="200" w:after="0"/>
      <w:outlineLvl w:val="1"/>
    </w:pPr>
    <w:rPr>
      <w:rFonts w:ascii="Liberation Serif" w:hAnsi="Liberation Serif" w:eastAsia="" w:cs="" w:cstheme="majorBidi" w:eastAsiaTheme="majorEastAsia"/>
      <w:b/>
      <w:bCs/>
      <w:color w:val="000000"/>
      <w:sz w:val="32"/>
      <w:szCs w:val="32"/>
    </w:rPr>
  </w:style>
  <w:style w:type="paragraph" w:styleId="Ttulo3">
    <w:name w:val="Heading 3"/>
    <w:basedOn w:val="Normal"/>
    <w:next w:val="Cuerpodetexto"/>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Ttulo4">
    <w:name w:val="Heading 4"/>
    <w:basedOn w:val="Normal"/>
    <w:next w:val="Cuerpodetexto"/>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Ttulo5">
    <w:name w:val="Heading 5"/>
    <w:basedOn w:val="Normal"/>
    <w:next w:val="Cuerpodetexto"/>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Ttulo6">
    <w:name w:val="Heading 6"/>
    <w:basedOn w:val="Normal"/>
    <w:next w:val="Cuerpodetexto"/>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Ttulo7">
    <w:name w:val="Heading 7"/>
    <w:basedOn w:val="Normal"/>
    <w:next w:val="Cuerpodetexto"/>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Ttulo8">
    <w:name w:val="Heading 8"/>
    <w:basedOn w:val="Normal"/>
    <w:next w:val="Cuerpodetexto"/>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Ttulo9">
    <w:name w:val="Heading 9"/>
    <w:basedOn w:val="Normal"/>
    <w:next w:val="Cuerpodetexto"/>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Ancladenotaalpie">
    <w:name w:val="Ancla de nota al pie"/>
    <w:rPr>
      <w:vertAlign w:val="superscript"/>
    </w:rPr>
  </w:style>
  <w:style w:type="character" w:styleId="FootnoteCharacters">
    <w:name w:val="Footnote Characters"/>
    <w:basedOn w:val="BodyTextChar"/>
    <w:qFormat/>
    <w:rPr>
      <w:vertAlign w:val="superscript"/>
    </w:rPr>
  </w:style>
  <w:style w:type="character" w:styleId="EnlacedeInternet">
    <w:name w:val="Enlace de Internet"/>
    <w:basedOn w:val="BodyTextChar"/>
    <w:rPr>
      <w:color w:val="4F81BD" w:themeColor="accent1"/>
    </w:rPr>
  </w:style>
  <w:style w:type="character" w:styleId="KeywordTok" w:customStyle="1">
    <w:name w:val="KeywordTok"/>
    <w:basedOn w:val="VerbatimChar"/>
    <w:qFormat/>
    <w:rPr>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i/>
      <w:color w:val="8F5902"/>
      <w:shd w:fill="F8F8F8" w:val="clear"/>
    </w:rPr>
  </w:style>
  <w:style w:type="character" w:styleId="AnnotationTok" w:customStyle="1">
    <w:name w:val="AnnotationTok"/>
    <w:basedOn w:val="VerbatimChar"/>
    <w:qFormat/>
    <w:rPr>
      <w:i/>
      <w:color w:val="8F5902"/>
      <w:shd w:fill="F8F8F8" w:val="clear"/>
    </w:rPr>
  </w:style>
  <w:style w:type="character" w:styleId="CommentVarTok" w:customStyle="1">
    <w:name w:val="CommentVarTok"/>
    <w:basedOn w:val="VerbatimChar"/>
    <w:qFormat/>
    <w:rPr>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color w:val="204A87"/>
      <w:shd w:fill="F8F8F8" w:val="clear"/>
    </w:rPr>
  </w:style>
  <w:style w:type="character" w:styleId="OperatorTok" w:customStyle="1">
    <w:name w:val="OperatorTok"/>
    <w:basedOn w:val="VerbatimChar"/>
    <w:qFormat/>
    <w:rPr>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i/>
      <w:color w:val="8F5902"/>
      <w:shd w:fill="F8F8F8" w:val="clear"/>
    </w:rPr>
  </w:style>
  <w:style w:type="character" w:styleId="WarningTok" w:customStyle="1">
    <w:name w:val="WarningTok"/>
    <w:basedOn w:val="VerbatimChar"/>
    <w:qFormat/>
    <w:rPr>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color w:val="A40000"/>
      <w:shd w:fill="F8F8F8" w:val="clear"/>
    </w:rPr>
  </w:style>
  <w:style w:type="character" w:styleId="NormalTok" w:customStyle="1">
    <w:name w:val="NormalTok"/>
    <w:basedOn w:val="VerbatimChar"/>
    <w:qFormat/>
    <w:rPr>
      <w:shd w:fill="F8F8F8" w:val="clear"/>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link w:val="BodyTextChar"/>
    <w:qFormat/>
    <w:pPr>
      <w:spacing w:before="180" w:after="180"/>
    </w:pPr>
    <w:rPr/>
  </w:style>
  <w:style w:type="paragraph" w:styleId="Lista">
    <w:name w:val="List"/>
    <w:basedOn w:val="Cuerpodetexto"/>
    <w:pPr/>
    <w:rPr>
      <w:rFonts w:cs="Lohit Devanagari"/>
    </w:rPr>
  </w:style>
  <w:style w:type="paragraph" w:styleId="Leyenda">
    <w:name w:val="Caption"/>
    <w:basedOn w:val="Normal"/>
    <w:link w:val="BodyTextChar"/>
    <w:qFormat/>
    <w:pPr>
      <w:spacing w:before="0" w:after="120"/>
    </w:pPr>
    <w:rPr>
      <w:i/>
    </w:rPr>
  </w:style>
  <w:style w:type="paragraph" w:styleId="Ndice">
    <w:name w:val="Índice"/>
    <w:basedOn w:val="Normal"/>
    <w:qFormat/>
    <w:pPr>
      <w:suppressLineNumbers/>
    </w:pPr>
    <w:rPr>
      <w:rFonts w:cs="Lohit Devanagari"/>
    </w:rPr>
  </w:style>
  <w:style w:type="paragraph" w:styleId="FirstParagraph" w:customStyle="1">
    <w:name w:val="First Paragraph"/>
    <w:basedOn w:val="Cuerpodetexto"/>
    <w:next w:val="Cuerpodetexto"/>
    <w:qFormat/>
    <w:pPr/>
    <w:rPr>
      <w:rFonts w:ascii="Liberation Serif" w:hAnsi="Liberation Serif"/>
    </w:rPr>
  </w:style>
  <w:style w:type="paragraph" w:styleId="Compact" w:customStyle="1">
    <w:name w:val="Compact"/>
    <w:basedOn w:val="Cuerpodetexto"/>
    <w:qFormat/>
    <w:pPr>
      <w:spacing w:before="36" w:after="36"/>
    </w:pPr>
    <w:rPr/>
  </w:style>
  <w:style w:type="paragraph" w:styleId="Titular">
    <w:name w:val="Title"/>
    <w:basedOn w:val="Normal"/>
    <w:next w:val="Cuerpodetexto"/>
    <w:qFormat/>
    <w:pPr>
      <w:keepNext w:val="true"/>
      <w:keepLines/>
      <w:spacing w:before="480" w:after="240"/>
      <w:jc w:val="center"/>
    </w:pPr>
    <w:rPr>
      <w:rFonts w:ascii="Liberation Serif" w:hAnsi="Liberation Serif" w:eastAsia="" w:cs="" w:cstheme="majorBidi" w:eastAsiaTheme="majorEastAsia"/>
      <w:b/>
      <w:bCs/>
      <w:color w:val="000000" w:themeShade="b5"/>
      <w:sz w:val="36"/>
      <w:szCs w:val="36"/>
    </w:rPr>
  </w:style>
  <w:style w:type="paragraph" w:styleId="Subttulo">
    <w:name w:val="Subtitle"/>
    <w:basedOn w:val="Titular"/>
    <w:next w:val="Cuerpodetexto"/>
    <w:qFormat/>
    <w:pPr>
      <w:keepNext w:val="true"/>
      <w:keepLines/>
      <w:spacing w:before="240" w:after="240"/>
      <w:jc w:val="center"/>
    </w:pPr>
    <w:rPr>
      <w:sz w:val="30"/>
      <w:szCs w:val="30"/>
    </w:rPr>
  </w:style>
  <w:style w:type="paragraph" w:styleId="Author" w:customStyle="1">
    <w:name w:val="Author"/>
    <w:next w:val="Cuerpodetexto"/>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Cuerpodetexto"/>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Cuerpodetexto"/>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Cuerpodetexto"/>
    <w:next w:val="Cuerpodetexto"/>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Notaalpi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Leyenda"/>
    <w:qFormat/>
    <w:pPr>
      <w:keepNext w:val="true"/>
    </w:pPr>
    <w:rPr/>
  </w:style>
  <w:style w:type="paragraph" w:styleId="ImageCaption" w:customStyle="1">
    <w:name w:val="Image Caption"/>
    <w:basedOn w:val="Leyenda"/>
    <w:qFormat/>
    <w:pPr/>
    <w:rPr/>
  </w:style>
  <w:style w:type="paragraph" w:styleId="Figura" w:customStyle="1">
    <w:name w:val="Figura"/>
    <w:basedOn w:val="Normal"/>
    <w:qFormat/>
    <w:pPr/>
    <w:rPr/>
  </w:style>
  <w:style w:type="paragraph" w:styleId="CaptionedFigure" w:customStyle="1">
    <w:name w:val="Captioned Figure"/>
    <w:basedOn w:val="Figura"/>
    <w:qFormat/>
    <w:pPr>
      <w:keepNext w:val="true"/>
    </w:pPr>
    <w:rPr/>
  </w:style>
  <w:style w:type="paragraph" w:styleId="TOCHeading">
    <w:name w:val="TOC Heading"/>
    <w:basedOn w:val="Ttulo1"/>
    <w:next w:val="Cuerpodetexto"/>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hyperlink" Id="rId22" Target="https://github.com/sapfluxnet/sapfluxnetr" TargetMode="External" /></Relationships>
</file>

<file path=word/_rels/footnotes.xml.rels><?xml version="1.0" encoding="UTF-8"?>
<Relationships xmlns="http://schemas.openxmlformats.org/package/2006/relationships"><Relationship Type="http://schemas.openxmlformats.org/officeDocument/2006/relationships/hyperlink" Id="rId22" Target="https://github.com/sapfluxnet/sapfluxne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Application>LibreOffice/6.3.4.2$Linux_X86_64 LibreOffice_project/30$Build-2</Application>
  <Pages>2</Pages>
  <Words>146</Words>
  <Characters>667</Characters>
  <CharactersWithSpaces>865</CharactersWithSpaces>
  <Paragraphs>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transpiration data from sap flow measurements: the SAPFLUXNET database</dc:title>
  <dc:creator/>
  <cp:keywords/>
  <dcterms:created xsi:type="dcterms:W3CDTF">2020-06-05T15:00:52Z</dcterms:created>
  <dcterms:modified xsi:type="dcterms:W3CDTF">2020-06-05T15:00:52Z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05/06/2020</vt:lpwstr>
  </property>
  <property fmtid="{D5CDD505-2E9C-101B-9397-08002B2CF9AE}" pid="3" name="output">
    <vt:lpwstr/>
  </property>
  <property fmtid="{D5CDD505-2E9C-101B-9397-08002B2CF9AE}" pid="4" name="subtitle">
    <vt:lpwstr>Supplement</vt:lpwstr>
  </property>
</Properties>
</file>