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Override PartName="/word/media/rId25.png" ContentType="image/png"/>
  <Override PartName="/word/media/rId24.svg" ContentType="image/svg+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Tables</w:t>
      </w:r>
      <w:r>
        <w:t xml:space="preserve"> </w:t>
      </w:r>
      <w:r>
        <w:t xml:space="preserve">for</w:t>
      </w:r>
      <w:r>
        <w:t xml:space="preserve"> </w:t>
      </w:r>
      <w:r>
        <w:t xml:space="preserve">SAPFLUXNET</w:t>
      </w:r>
      <w:r>
        <w:t xml:space="preserve"> </w:t>
      </w:r>
      <w:r>
        <w:t xml:space="preserve">data</w:t>
      </w:r>
      <w:r>
        <w:t xml:space="preserve"> </w:t>
      </w:r>
      <w:r>
        <w:t xml:space="preserve">paper</w:t>
      </w:r>
    </w:p>
    <w:p>
      <w:pPr>
        <w:pStyle w:val="Author"/>
      </w:pPr>
      <w:r>
        <w:t xml:space="preserve">R.</w:t>
      </w:r>
      <w:r>
        <w:t xml:space="preserve"> </w:t>
      </w:r>
      <w:r>
        <w:t xml:space="preserve">Poyatos</w:t>
      </w:r>
    </w:p>
    <w:p>
      <w:pPr>
        <w:pStyle w:val="Date"/>
      </w:pPr>
      <w:r>
        <w:t xml:space="preserve">9th</w:t>
      </w:r>
      <w:r>
        <w:t xml:space="preserve"> </w:t>
      </w:r>
      <w:r>
        <w:t xml:space="preserve">January</w:t>
      </w:r>
      <w:r>
        <w:t xml:space="preserve"> </w:t>
      </w:r>
      <w:r>
        <w:t xml:space="preserve">2020</w:t>
      </w:r>
    </w:p>
    <w:p>
      <w:pPr>
        <w:pStyle w:val="Ttulo2"/>
      </w:pPr>
      <w:bookmarkStart w:id="20" w:name="contents"/>
      <w:r>
        <w:t xml:space="preserve">Contents</w:t>
      </w:r>
      <w:bookmarkEnd w:id="20"/>
    </w:p>
    <w:p>
      <w:pPr>
        <w:pStyle w:val="Ttulo3"/>
      </w:pPr>
      <w:bookmarkStart w:id="21" w:name="figure-s1."/>
      <w:r>
        <w:t xml:space="preserve">Figure S1.</w:t>
      </w:r>
      <w:bookmarkEnd w:id="21"/>
    </w:p>
    <w:p>
      <w:pPr>
        <w:pStyle w:val="FirstParagraph"/>
      </w:pPr>
      <w:r>
        <w:t xml:space="preserve">QC overview, showing file management, identifying automatic and manual steps and</w:t>
      </w:r>
      <w:r>
        <w:t xml:space="preserve"> </w:t>
      </w:r>
      <w:r>
        <w:t xml:space="preserve">indicating status file updates.</w:t>
      </w:r>
      <w:r>
        <w:t xml:space="preserve"> </w:t>
      </w:r>
      <w:r>
        <w:t xml:space="preserve">### Table S1. Quality control of metadata in the QC1 stage.</w:t>
      </w:r>
      <w:r>
        <w:t xml:space="preserve"> </w:t>
      </w:r>
      <w:r>
        <w:t xml:space="preserve">### Figure S2. Structure of sfn_data objects.</w:t>
      </w:r>
      <w:r>
        <w:t xml:space="preserve"> </w:t>
      </w:r>
      <w:r>
        <w:t xml:space="preserve">### Table S2. Metadata variables of SAPFLUXNET datasets.</w:t>
      </w:r>
      <w:r>
        <w:t xml:space="preserve"> </w:t>
      </w:r>
      <w:r>
        <w:t xml:space="preserve">### Table S3. Quality control of metadata in the QC2 stage.</w:t>
      </w:r>
      <w:r>
        <w:t xml:space="preserve"> </w:t>
      </w:r>
      <w:r>
        <w:t xml:space="preserve">### Figure S3.</w:t>
      </w:r>
      <w:r>
        <w:t xml:space="preserve"> </w:t>
      </w:r>
      <w:r>
        <w:t xml:space="preserve">Example of the interactive application for outlier and and out of range detection in</w:t>
      </w:r>
      <w:r>
        <w:t xml:space="preserve"> </w:t>
      </w:r>
      <w:r>
        <w:t xml:space="preserve">the QC2 stage.</w:t>
      </w:r>
      <w:r>
        <w:t xml:space="preserve"> </w:t>
      </w:r>
      <w:r>
        <w:t xml:space="preserve">### Table. Datasets</w:t>
      </w:r>
      <w:r>
        <w:t xml:space="preserve"> </w:t>
      </w:r>
      <w:r>
        <w:t xml:space="preserve">### Table. Number of trees per genus</w:t>
      </w:r>
      <w:r>
        <w:t xml:space="preserve"> </w:t>
      </w:r>
      <w:r>
        <w:t xml:space="preserve">### Table. Number of trees per species</w:t>
      </w:r>
    </w:p>
    <w:p>
      <w:r>
        <w:br w:type="page"/>
      </w:r>
    </w:p>
    <w:p>
      <w:pPr>
        <w:pStyle w:val="Ttulo2"/>
      </w:pPr>
      <w:bookmarkStart w:id="22" w:name="supplementary"/>
      <w:r>
        <w:t xml:space="preserve">Supplementary</w:t>
      </w:r>
      <w:bookmarkEnd w:id="22"/>
    </w:p>
    <w:p>
      <w:r>
        <w:br w:type="page"/>
      </w:r>
    </w:p>
    <w:p>
      <w:pPr>
        <w:pStyle w:val="CaptionedFigure"/>
      </w:pPr>
      <w:r>
        <w:drawing>
          <wp:inline>
            <wp:extent cx="4724164" cy="7620000"/>
            <wp:effectExtent b="0" l="0" r="0" t="0"/>
            <wp:docPr descr="Figure X. Overview of the data QC process" title="" id="1" name="Picture"/>
            <a:graphic>
              <a:graphicData uri="http://schemas.openxmlformats.org/drawingml/2006/picture">
                <pic:pic>
                  <pic:nvPicPr>
                    <pic:cNvPr descr="resources/QC_summary2.svg" id="0" name="Picture"/>
                    <pic:cNvPicPr>
                      <a:picLocks noChangeArrowheads="1" noChangeAspect="1"/>
                    </pic:cNvPicPr>
                  </pic:nvPicPr>
                  <pic:blipFill>
                    <a:blip r:embed="rId23"/>
                    <a:stretch>
                      <a:fillRect/>
                    </a:stretch>
                  </pic:blipFill>
                  <pic:spPr bwMode="auto">
                    <a:xfrm>
                      <a:off x="0" y="0"/>
                      <a:ext cx="472416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QC1 data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7200"/>
      </w:tblGrid>
      <w:tr>
        <w:trPr>
          <w:cantSplit/>
          <w:trHeight w:val="452"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Check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Metadata variables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variables are checked for presence and expected class (numeric, character, logical…).</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 variables values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character variables are checked against the possible values (factor levels) for that variable, raising a warning if some value is out of the expected.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check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provided by contributors is checked for validity</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Coordinates and 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coordinates are checked for correctness (are they inside the specified country?) and fixed if needed and possible. MAT and MAP values are obtained for that coordinates and the biome is calculated from that values.</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Percentages of soil textures are used to calculate the USDA classification category if possible.</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 in plant and species metadata are checked for spelling errors and the concordance between both metadata is also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treatments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uniformity in the treatment declared by plant.</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Environmental variables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concordance between the declared variables in the environmental metadata and the environmental data.</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Format, NA presence (there is data, but there is no timestamp), concordance and continuity are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Gap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 gaps (There is TIMESTAMP but there is no data) are summarised and visualized.</w:t>
            </w:r>
          </w:p>
        </w:tc>
      </w:tr>
      <w:tr>
        <w:trPr>
          <w:cantSplit/>
          <w:trHeight w:val="1008"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water content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percentage swc values and transform them to cm3/cm3</w:t>
            </w:r>
          </w:p>
        </w:tc>
      </w:tr>
    </w:tbl>
    <w:p>
      <w:r>
        <w:br w:type="page"/>
      </w:r>
    </w:p>
    <w:p>
      <w:pPr>
        <w:pStyle w:val="CaptionedFigure"/>
      </w:pPr>
      <w:r>
        <w:drawing>
          <wp:inline>
            <wp:extent cx="5385614" cy="7620000"/>
            <wp:effectExtent b="0" l="0" r="0" t="0"/>
            <wp:docPr descr="Figure X. Overview of the data QC process" title="" id="1" name="Picture"/>
            <a:graphic>
              <a:graphicData uri="http://schemas.openxmlformats.org/drawingml/2006/picture">
                <pic:pic>
                  <pic:nvPicPr>
                    <pic:cNvPr descr="resources/schematics.svg" id="0" name="Picture"/>
                    <pic:cNvPicPr>
                      <a:picLocks noChangeArrowheads="1" noChangeAspect="1"/>
                    </pic:cNvPicPr>
                  </pic:nvPicPr>
                  <pic:blipFill>
                    <a:blip r:embed="rId24"/>
                    <a:stretch>
                      <a:fillRect/>
                    </a:stretch>
                  </pic:blipFill>
                  <pic:spPr bwMode="auto">
                    <a:xfrm>
                      <a:off x="0" y="0"/>
                      <a:ext cx="538561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Metadata variables 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3240"/>
        <w:gridCol w:w="1728"/>
        <w:gridCol w:w="1728"/>
      </w:tblGrid>
      <w:tr>
        <w:trPr>
          <w:cantSplit/>
          <w:trHeight w:val="452"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 code (ISO)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latitude (i.e. 42.36)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si_long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longitude (i.e. -8.23)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si_elev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above sea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si_paper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Paper with relevant information to understand the site as DOI links or DOI codes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DOI link</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si_dist_mgmt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Recent and historic disturbance and management events that affected the measurement years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si_igbp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Vegetation type based on IGBP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si_flux_network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FLUXNET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si_dendro_network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DENDROGLOBAL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site-specific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site code, unique for each site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temperature,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Celsius degrees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precipitation,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Biome classification as per Whittaker diagram, based on mat and map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st_growth_condition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Growth condition with respect to stand origin and management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applied at stand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stand age at the moment of sap flow measurements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Canopy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st_density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stem density for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stems/ha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st_basal_area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st_lai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maximum stand leaf area (one-sided, projected)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st_aspect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Aspect the stand is facing (exposure)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st_terrain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Slope and/or relief of the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total 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 class, based on simplified USDA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st_sand_perc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sand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st_silt_perc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silt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st_clay_perc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clay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stand-specific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st_USDA_soil_texture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USDA soil classification based on the percentages provided by the contributor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Identity of each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sp_ntrees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 measured of each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sp_leaf_habit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habit of the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sp_basal_area_perc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 occupied by each measured species, in percentage over 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code assigned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identity of the 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Experimental treatment (if any)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pl_dbh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Diameter at breast 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age at the moment of measure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pl_social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social 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Cross-sectional sapwood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Sapwood depth, measured at breast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pl_bark_thick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bark thickness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pl_leaf_area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area of eachvvmeasured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pl_sens_meth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sensor manufacturer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pl_sens_cor_grad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Correction for natural temperature gradients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pl_sens_cor_zero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flow determination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pl_sens_calib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Was species-specific calibration used?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Uniformized sapfluxnet units for sapwood, leaf and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pl_sap_units_orig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Original contribution units (at sapwood or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pl_sens_length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Length of the needles or electrodes forming the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pl_sens_hgt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Sensor installation height, measured from the ground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 step of sensor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pl_radial_int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pl_azimut_int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plant-specific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plant code, unique for each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env_time_zone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zone of site used in the TIMESTAMPS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env_time_daylight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 daylight saving time applied to the original 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timestep of environmental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air temperature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humidity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env_vpd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vapour pressure decifit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shortwave incoming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env_ppfd_in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incoming photosynthetic photon flux density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env_netrad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net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env_ws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wind speed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env_precip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precipitation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env_swc_shallow_depth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shallow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env_swc_deep_depth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deep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env_plant_watpot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water potential values for the same measured plants during the sap flow measurements period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env_leafarea_seasonal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seasonal course leaf area data 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env_remarks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environmental-specific peculiarities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bl>
    <w:p>
      <w:r>
        <w:br w:type="page"/>
      </w:r>
    </w:p>
    <w:p>
      <w:pPr>
        <w:pStyle w:val="CaptionedFigure"/>
      </w:pPr>
      <w:r>
        <w:drawing>
          <wp:inline>
            <wp:extent cx="5943600" cy="2841783"/>
            <wp:effectExtent b="0" l="0" r="0" t="0"/>
            <wp:docPr descr="Figure SX. Outliers app" title="" id="1" name="Picture"/>
            <a:graphic>
              <a:graphicData uri="http://schemas.openxmlformats.org/drawingml/2006/picture">
                <pic:pic>
                  <pic:nvPicPr>
                    <pic:cNvPr descr="resources/out_app.png" id="0" name="Picture"/>
                    <pic:cNvPicPr>
                      <a:picLocks noChangeArrowheads="1" noChangeAspect="1"/>
                    </pic:cNvPicPr>
                  </pic:nvPicPr>
                  <pic:blipFill>
                    <a:blip r:embed="rId25"/>
                    <a:stretch>
                      <a:fillRect/>
                    </a:stretch>
                  </pic:blipFill>
                  <pic:spPr bwMode="auto">
                    <a:xfrm>
                      <a:off x="0" y="0"/>
                      <a:ext cx="5943600" cy="2841783"/>
                    </a:xfrm>
                    <a:prstGeom prst="rect">
                      <a:avLst/>
                    </a:prstGeom>
                    <a:noFill/>
                    <a:ln w="9525">
                      <a:noFill/>
                      <a:headEnd/>
                      <a:tailEnd/>
                    </a:ln>
                  </pic:spPr>
                </pic:pic>
              </a:graphicData>
            </a:graphic>
          </wp:inline>
        </w:drawing>
      </w:r>
    </w:p>
    <w:p>
      <w:pPr>
        <w:pStyle w:val="ImageCaption"/>
      </w:pPr>
      <w:r>
        <w:t xml:space="preserve">Figure SX. Outliers app</w:t>
      </w:r>
    </w:p>
    <w:p>
      <w:r>
        <w:br w:type="page"/>
      </w:r>
    </w:p>
    <w:p>
      <w:pPr>
        <w:pStyle w:val="TableCaption"/>
      </w:pPr>
      <w:r>
        <w:t xml:space="preserve">Table X. Number of trees per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66"/>
        <w:gridCol w:w="1000"/>
        <w:gridCol w:w="4021"/>
        <w:gridCol w:w="1184"/>
        <w:gridCol w:w="3287"/>
        <w:gridCol w:w="1184"/>
      </w:tblGrid>
      <w:tr>
        <w:trPr>
          <w:cantSplit/>
          <w:trHeight w:val="309"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sylvestris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tortilis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 serotina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canescens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saccharum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 obovata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camaldulensis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sylvatica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 betulus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rosea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taeda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 acuminatissima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tremuloides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patula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dives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koraiensis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radiata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octandra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nitens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 subsp. czerepanovii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 racemosa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267"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strobus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 marina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 bidentata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 styraciflua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robur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membranacea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excelsior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grandiflora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rubrum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viridis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 tulipifera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Myrtales fam.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 macrocarpa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grandifolia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 luzoniense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 novogranatensis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resinosa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 excelsa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 anisophyllum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globulus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firma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 idiopoda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decidua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 australis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 baccata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pinsapo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mearnsii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mariana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pyrenaica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pumilio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glauca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cunninghamii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petraea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cypellocarpa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cordiformis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 menziesii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rubida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prinus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halepensis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 angustifolia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velutina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 triplinervia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tricolor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 canadensis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 apiculata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 poiteaui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cajanderi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michauxii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cerris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papyrifera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phellos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 lindenii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montana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rigida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balsamea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antarctica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baxteri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 alicastrum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cembra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 quadrifida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euphratica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coriacea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 costaricense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 europaea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 unedo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rotundifolia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 altissima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 desmanthum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suber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alleghaniensis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pendula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nigra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pennsylvanica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 sagotiana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sitchensis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anomala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edulis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 tenuifolium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 speciosum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 monosperma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 alchorneoides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kaempferi x 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victrix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 schottiana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 japonica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obliqua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 formosa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lyrata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 cacao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 samosa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coccinea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 riparia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 ditimena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grandidentata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 aquifolium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 ramiflora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 domestica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tereticornis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 asbeckii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 pedunculata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faginea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 insignis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7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canariensis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 arborea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 albidum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 guineensis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longifolia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pinaster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sibirica Ledeb.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falcata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 occidentalis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 florida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tomentosa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sibirica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rodriguesii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 guianensis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virginiana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 rubra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bl>
    <w:p>
      <w:r>
        <w:br w:type="page"/>
      </w:r>
    </w:p>
    <w:p>
      <w:pPr>
        <w:pStyle w:val="TableCaption"/>
      </w:pPr>
      <w:r>
        <w:t xml:space="preserve">Table X. Number of trees per genus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51"/>
        <w:gridCol w:w="1000"/>
        <w:gridCol w:w="1587"/>
        <w:gridCol w:w="1184"/>
        <w:gridCol w:w="2138"/>
        <w:gridCol w:w="1184"/>
      </w:tblGrid>
      <w:tr>
        <w:trPr>
          <w:cantSplit/>
          <w:trHeight w:val="313"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trees</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279"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Myrtales fam.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267"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7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7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7"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bl>
    <w:p>
      <w:r>
        <w:br w:type="page"/>
      </w:r>
    </w:p>
    <w:p>
      <w:pPr>
        <w:pStyle w:val="TableCaption"/>
      </w:pPr>
      <w:r>
        <w:t xml:space="preserve">Table X. Number of datasets per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639"/>
        <w:gridCol w:w="964"/>
        <w:gridCol w:w="4021"/>
        <w:gridCol w:w="1147"/>
        <w:gridCol w:w="3275"/>
        <w:gridCol w:w="1147"/>
      </w:tblGrid>
      <w:tr>
        <w:trPr>
          <w:cantSplit/>
          <w:trHeight w:val="309"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 datasets</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sylvestris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faginea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rodriguesii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lyrata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Macrolobium costaricense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sylvatica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Manilkara bidentata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rubrum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pyrenaica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Meliosma idiopoda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Liriodendron tulipifera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Mollinedia schottiana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Liquidambar styraciflua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Sloanea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Mortoniodendron anisophyllum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Acer saccharum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Tilia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antarctica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nitens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Tsuga canadensis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cunninghamii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decidua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balsamea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Nothofagus pumilio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79"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Abrahamia ditimena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Ocotea samosa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cembra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longifolia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Otoba novogranatensis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taeda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Agathis australis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Palaquium luzoniense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euphratica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Alchornea triplinervia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glauca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Ampelocera macrocarpa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mariana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79"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Arbutus unedo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Picea sitchensis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Abies pinsapo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Aspidosperma desmanthum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canariensis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obliqua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Avicennia marina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patula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radiata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pendula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pinaster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Olea europaea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 subsp. czerepanovii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resinosa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strobus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sibirica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Pseudotsuga menziesii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Brachylaena ramiflora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petraea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Brosimum alicastrum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Platanus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cypellocarpa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Carapa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Platea excelsa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Fagus grandifolia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cordiformis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Pleuranthodendron lindenii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coccinea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canescens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velutina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Castanopsis acuminatissima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grandidentata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tortilis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Cornus florida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Populus tremuloides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Goupia glabra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anomala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Juniperus monosperma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Cryptocarya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firma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Malus domestica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Cryptomeria japonica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Ostrya virginiana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Cupania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Pouteria viridis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edulis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Drimys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Protium tenuifolium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koraiensis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Elaeagnus angustifolia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Psiadia altissima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nigra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Elaeis guineensis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rosea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rigida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grandiflora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Qualea tricolor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montana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cerris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rotundifolia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camaldulensis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falcata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Vouacapoua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dives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michauxii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Acacia mearnsii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rubida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phellos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alleghaniensis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tereticornis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prinus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papyrifera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victrix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robur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Betula pubescens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Eugenia spp.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Quercus suber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Carpinus betulus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Recordoxylon speciosum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Carya tomentosa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excelsior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Rustia formosa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Celtis laevigata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Genipa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Santiria apiculata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Clethra macrophylla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Gymnanthes riparia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Sassafras albidum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Coprosma quadrifida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Hieronyma alchorneoides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Saurauia pedunculata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1"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Dicorynia guianensis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Ilex aquifolium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Sextonia rubra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Eschweilera coriacea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Inga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Swartzia racemosa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baxteri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Iryanthera sagotiana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Taxus baccata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Eucalyptus globulus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Kandelia obovata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Theobroma cacao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Fraxinus pennsylvanica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Thuja occidentalis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3"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Hevea brasiliensis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kaempferi x Larix gmelinii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Trophis mexicana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cajanderi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Larix sibirica Ledeb.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Turpinia insignis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1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membranacea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Lecythis poiteaui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Ulmus americana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Oxandra asbeckii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Leptolaena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Unkwown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0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Pinus halepensis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alba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Vantanea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267"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Prunus serotina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Licania octandra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Vernonia arborea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bl>
    <w:p>
      <w:r>
        <w:br w:type="page"/>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rFonts w:ascii="Liberation Serif" w:hAnsi="Liberation Serif"/>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5" Target="media/rId25.png" /><Relationship Type="http://schemas.openxmlformats.org/officeDocument/2006/relationships/image" Id="rId24" Target="media/rId24.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2</Pages>
  <Words>146</Words>
  <Characters>667</Characters>
  <CharactersWithSpaces>865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SAPFLUXNET data paper</dc:title>
  <dc:creator>R. Poyatos</dc:creator>
  <cp:keywords/>
  <dcterms:created xsi:type="dcterms:W3CDTF">2020-01-28T22:22:36Z</dcterms:created>
  <dcterms:modified xsi:type="dcterms:W3CDTF">2020-01-28T22:22:36Z</dcterms:modified>
</cp:coreProperties>
</file>