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svg" ContentType="image/svg+xml"/>
  <Override PartName="/word/media/rId24.png" ContentType="image/png"/>
  <Override PartName="/word/media/rId23.svg" ContentType="image/svg+xml"/>
  <Override PartName="/word/media/rId2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ular"/>
      </w:pPr>
      <w:r>
        <w:t xml:space="preserve">SAPFLUXNET</w:t>
      </w:r>
      <w:r>
        <w:t xml:space="preserve"> </w:t>
      </w:r>
      <w:r>
        <w:t xml:space="preserve">data</w:t>
      </w:r>
      <w:r>
        <w:t xml:space="preserve"> </w:t>
      </w:r>
      <w:r>
        <w:t xml:space="preserve">paper:supporting</w:t>
      </w:r>
      <w:r>
        <w:t xml:space="preserve"> </w:t>
      </w:r>
      <w:r>
        <w:t xml:space="preserve">information</w:t>
      </w:r>
    </w:p>
    <w:p>
      <w:pPr>
        <w:pStyle w:val="Author"/>
      </w:pPr>
      <w:r>
        <w:t xml:space="preserve">R.</w:t>
      </w:r>
      <w:r>
        <w:t xml:space="preserve"> </w:t>
      </w:r>
      <w:r>
        <w:t xml:space="preserve">Poyatos</w:t>
      </w:r>
    </w:p>
    <w:p>
      <w:pPr>
        <w:pStyle w:val="Date"/>
      </w:pPr>
      <w:r>
        <w:t xml:space="preserve">February</w:t>
      </w:r>
      <w:r>
        <w:t xml:space="preserve"> </w:t>
      </w:r>
      <w:r>
        <w:t xml:space="preserve">2020</w:t>
      </w:r>
    </w:p>
    <w:p>
      <w:pPr>
        <w:pStyle w:val="Ttulo2"/>
      </w:pPr>
      <w:bookmarkStart w:id="20" w:name="contents"/>
      <w:r>
        <w:t xml:space="preserve">Contents</w:t>
      </w:r>
      <w:bookmarkEnd w:id="20"/>
    </w:p>
    <w:p>
      <w:pPr>
        <w:pStyle w:val="Ttulo4"/>
      </w:pPr>
      <w:bookmarkStart w:id="21" w:name="figure-s1"/>
      <w:r>
        <w:t xml:space="preserve">Figure S1</w:t>
      </w:r>
      <w:bookmarkEnd w:id="21"/>
    </w:p>
    <w:p>
      <w:pPr>
        <w:pStyle w:val="FirstParagraph"/>
      </w:pPr>
      <w:r>
        <w:t xml:space="preserve">Overview of the data QC process, showing file management, identifying automatic and manual steps and</w:t>
      </w:r>
      <w:r>
        <w:t xml:space="preserve"> </w:t>
      </w:r>
      <w:r>
        <w:t xml:space="preserve">indicating status file updates.</w:t>
      </w:r>
      <w:r>
        <w:t xml:space="preserve"> </w:t>
      </w:r>
      <w:r>
        <w:t xml:space="preserve">#### Figure S2</w:t>
      </w:r>
      <w:r>
        <w:t xml:space="preserve"> </w:t>
      </w:r>
      <w:r>
        <w:t xml:space="preserve">Structure of sfn_data objects.</w:t>
      </w:r>
      <w:r>
        <w:t xml:space="preserve"> </w:t>
      </w:r>
      <w:r>
        <w:t xml:space="preserve">#### Table S2</w:t>
      </w:r>
      <w:r>
        <w:t xml:space="preserve"> </w:t>
      </w:r>
      <w:r>
        <w:t xml:space="preserve">Metadata variables description.</w:t>
      </w:r>
      <w:r>
        <w:t xml:space="preserve"> </w:t>
      </w:r>
      <w:r>
        <w:t xml:space="preserve">##### Figure S3</w:t>
      </w:r>
      <w:r>
        <w:t xml:space="preserve"> </w:t>
      </w:r>
      <w:r>
        <w:t xml:space="preserve">Screenshot of the data cleaning app.</w:t>
      </w:r>
      <w:r>
        <w:t xml:space="preserve"> </w:t>
      </w:r>
      <w:r>
        <w:t xml:space="preserve">##### Table S3</w:t>
      </w:r>
      <w:r>
        <w:t xml:space="preserve"> </w:t>
      </w:r>
      <w:r>
        <w:t xml:space="preserve">Datasets in the SAPFLUXNET database identified by</w:t>
      </w:r>
      <w:r>
        <w:t xml:space="preserve"> </w:t>
      </w:r>
      <w:r>
        <w:t xml:space="preserve">numeric code, dataset code and site name. Geographic coordinates and elevation are also shown.</w:t>
      </w:r>
      <w:r>
        <w:t xml:space="preserve"> </w:t>
      </w:r>
      <w:r>
        <w:t xml:space="preserve">#### Figure S4</w:t>
      </w:r>
      <w:r>
        <w:t xml:space="preserve"> </w:t>
      </w:r>
      <w:r>
        <w:t xml:space="preserve">Detailed geographic distribution of SAPFLUXNET datasets.</w:t>
      </w:r>
      <w:r>
        <w:t xml:space="preserve"> </w:t>
      </w:r>
      <w:r>
        <w:t xml:space="preserve">#### Table S4</w:t>
      </w:r>
      <w:r>
        <w:t xml:space="preserve"> </w:t>
      </w:r>
      <w:r>
        <w:t xml:space="preserve">Number of trees per species in the SAPFLUXNET database.</w:t>
      </w:r>
      <w:r>
        <w:t xml:space="preserve"> </w:t>
      </w:r>
      <w:r>
        <w:t xml:space="preserve">#### Table S5</w:t>
      </w:r>
      <w:r>
        <w:t xml:space="preserve"> </w:t>
      </w:r>
      <w:r>
        <w:t xml:space="preserve">Number of trees per genus in the SAPFLUXNET database.</w:t>
      </w:r>
      <w:r>
        <w:t xml:space="preserve"> </w:t>
      </w:r>
      <w:r>
        <w:t xml:space="preserve">### Table S6</w:t>
      </w:r>
      <w:r>
        <w:t xml:space="preserve"> </w:t>
      </w:r>
      <w:r>
        <w:t xml:space="preserve">Number of species per dataset in the SAPFLUXNET database.</w:t>
      </w:r>
    </w:p>
    <w:p>
      <w:r>
        <w:br w:type="page"/>
      </w:r>
    </w:p>
    <w:p>
      <w:pPr>
        <w:pStyle w:val="CaptionedFigure"/>
      </w:pPr>
      <w:r>
        <w:drawing>
          <wp:inline>
            <wp:extent cx="4724164" cy="7620000"/>
            <wp:effectExtent b="0" l="0" r="0" t="0"/>
            <wp:docPr descr="Figure S1. Overview of the data QC process" title="" id="1" name="Picture"/>
            <a:graphic>
              <a:graphicData uri="http://schemas.openxmlformats.org/drawingml/2006/picture">
                <pic:pic>
                  <pic:nvPicPr>
                    <pic:cNvPr descr="resources/QC_summary2.svg" id="0" name="Picture"/>
                    <pic:cNvPicPr>
                      <a:picLocks noChangeArrowheads="1" noChangeAspect="1"/>
                    </pic:cNvPicPr>
                  </pic:nvPicPr>
                  <pic:blipFill>
                    <a:blip r:embed="rId22"/>
                    <a:stretch>
                      <a:fillRect/>
                    </a:stretch>
                  </pic:blipFill>
                  <pic:spPr bwMode="auto">
                    <a:xfrm>
                      <a:off x="0" y="0"/>
                      <a:ext cx="4724164" cy="7620000"/>
                    </a:xfrm>
                    <a:prstGeom prst="rect">
                      <a:avLst/>
                    </a:prstGeom>
                    <a:noFill/>
                    <a:ln w="9525">
                      <a:noFill/>
                      <a:headEnd/>
                      <a:tailEnd/>
                    </a:ln>
                  </pic:spPr>
                </pic:pic>
              </a:graphicData>
            </a:graphic>
          </wp:inline>
        </w:drawing>
      </w:r>
    </w:p>
    <w:p>
      <w:pPr>
        <w:pStyle w:val="ImageCaption"/>
      </w:pPr>
      <w:r>
        <w:t xml:space="preserve">Figure S1. Overview of the data QC process</w:t>
      </w:r>
    </w:p>
    <w:p>
      <w:r>
        <w:br w:type="page"/>
      </w:r>
    </w:p>
    <w:p>
      <w:pPr>
        <w:pStyle w:val="TableCaption"/>
      </w:pPr>
      <w:r>
        <w:t xml:space="preserve">Table S1. Data checks implemented in the QC1 process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592"/>
        <w:gridCol w:w="7200"/>
      </w:tblGrid>
      <w:tr>
        <w:trPr>
          <w:cantSplit/>
          <w:trHeight w:val="456"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Check</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Metadata variables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All metadata variables are checked for presence and expected class (numeric, character, logical…).</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 variables values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All metadata character variables are checked against the possible values (factor levels) for that variable, raising a warning if some value is out of the expected.</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E-mail check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E-mail provided by contributors is checked for validity</w:t>
            </w:r>
          </w:p>
        </w:tc>
      </w:tr>
      <w:tr>
        <w:trPr>
          <w:cantSplit/>
          <w:trHeight w:val="100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Coordinates and biome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coordinates are checked for correctness (are they inside the specified country?) and fixed if needed and possible. MAT and MAP values are obtained for that coordinates and the biome is calculated from that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texture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Percentages of soil textures are used to calculate the USDA classification category if possible.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names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names in plant and species metadata are checked for spelling errors and the concordance between both metadata is also checked</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treatments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uniformity in the treatment declared by plant.</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Environmental variables presence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concordance between the declared variables in the environmental metadata and the environmental data.</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Timestamp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Format, NA presence (there is data, but there is no timestamp), concordance and continuity are checked.</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Gap presence: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Data gaps (There is TIMESTAMP but there is no data) are summarised and visualized.</w:t>
            </w:r>
          </w:p>
        </w:tc>
      </w:tr>
      <w:tr>
        <w:trPr>
          <w:cantSplit/>
          <w:trHeight w:val="288" w:hRule="exact"/>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water content</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percentage swc values and transform them to cm3/cm3</w:t>
            </w:r>
          </w:p>
        </w:tc>
      </w:tr>
    </w:tbl>
    <w:p>
      <w:r>
        <w:br w:type="page"/>
      </w:r>
    </w:p>
    <w:p>
      <w:pPr>
        <w:pStyle w:val="CaptionedFigure"/>
      </w:pPr>
      <w:r>
        <w:drawing>
          <wp:inline>
            <wp:extent cx="5385614" cy="7620000"/>
            <wp:effectExtent b="0" l="0" r="0" t="0"/>
            <wp:docPr descr="Figure S2. Structure of sfn_data objects" title="" id="1" name="Picture"/>
            <a:graphic>
              <a:graphicData uri="http://schemas.openxmlformats.org/drawingml/2006/picture">
                <pic:pic>
                  <pic:nvPicPr>
                    <pic:cNvPr descr="resources/schematics.svg" id="0" name="Picture"/>
                    <pic:cNvPicPr>
                      <a:picLocks noChangeArrowheads="1" noChangeAspect="1"/>
                    </pic:cNvPicPr>
                  </pic:nvPicPr>
                  <pic:blipFill>
                    <a:blip r:embed="rId23"/>
                    <a:stretch>
                      <a:fillRect/>
                    </a:stretch>
                  </pic:blipFill>
                  <pic:spPr bwMode="auto">
                    <a:xfrm>
                      <a:off x="0" y="0"/>
                      <a:ext cx="5385614" cy="7620000"/>
                    </a:xfrm>
                    <a:prstGeom prst="rect">
                      <a:avLst/>
                    </a:prstGeom>
                    <a:noFill/>
                    <a:ln w="9525">
                      <a:noFill/>
                      <a:headEnd/>
                      <a:tailEnd/>
                    </a:ln>
                  </pic:spPr>
                </pic:pic>
              </a:graphicData>
            </a:graphic>
          </wp:inline>
        </w:drawing>
      </w:r>
    </w:p>
    <w:p>
      <w:pPr>
        <w:pStyle w:val="ImageCaption"/>
      </w:pPr>
      <w:r>
        <w:t xml:space="preserve">Figure S2. Structure of sfn_data objects</w:t>
      </w:r>
    </w:p>
    <w:p>
      <w:r>
        <w:br w:type="page"/>
      </w:r>
    </w:p>
    <w:p>
      <w:pPr>
        <w:pStyle w:val="TableCaption"/>
      </w:pPr>
      <w:r>
        <w:t xml:space="preserve">Table S2. Metadata variables description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592"/>
        <w:gridCol w:w="3240"/>
        <w:gridCol w:w="1728"/>
        <w:gridCol w:w="1728"/>
      </w:tblGrid>
      <w:tr>
        <w:trPr>
          <w:cantSplit/>
          <w:trHeight w:val="456"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name given by contributors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si_country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Country code (ISO)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si_contact_firstname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first 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si_contact_lastname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last 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si_contact_email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email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si_contact_institution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affiliation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si_addcontr_firstname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first 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si_addcontr_lastname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last 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si_addcontr_email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email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si_addcontr_institution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affiliation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si_lat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latitude (i.e. 42.36)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Latitude, decimal format (WGS84)</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si_long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longitude (i.e. -8.23)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Longitude, decimal format (WGS84)</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si_elev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Elevation above sea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meters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si_paper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Paper with relevant information to understand the site as DOI links or DOI codes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DOI link</w:t>
            </w:r>
          </w:p>
        </w:tc>
      </w:tr>
      <w:tr>
        <w:trPr>
          <w:cantSplit/>
          <w:trHeight w:val="100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si_dist_mgmt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Recent and historic disturbance and management events that affected the measurement years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si_igbp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Vegetation type based on IGBP classification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si_flux_network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 indicating if site is participating in the FLUXNET network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si_dendro_network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 indicating if site is participating in the DENDROGLOBAL network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si_remarks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site-specific peculiarities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si_code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site code, unique for each site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si_mat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annual mean temperature, as obtained from WorldClim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Celsius degrees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si_map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annual mean precipitation, as obtained from WorldClim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si_biome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Biome classification as per Whittaker diagram, based on mat and map obtained from WorldClim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calculated</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Stand name given by contributors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st_growth_condition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Growth condition with respect to stand origin and management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st_treatment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Treatment applied at stand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st_age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Mean stand age at the moment of sap flow measurements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years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st_height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Canopy height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meters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st_density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stem density for stand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stems/ha</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st_basal_area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stand basal 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m2/ha</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st_lai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maximum stand leaf area (one-sided, projected)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m2/m2</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st_aspect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Aspect the stand is facing (exposure)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st_terrain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Slope and/or relief of the stand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st_soil_depth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total 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st_soil_texture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texture class, based on simplified USDA classification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st_sand_perc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sand content, % mass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st_silt_perc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silt content, % mass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st_clay_perc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clay content, % mass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st_remarks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stand-specific peculiarities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st_USDA_soil_texture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USDA soil classification based on the percentages provided by the contributor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calculated</w:t>
            </w:r>
          </w:p>
        </w:tc>
      </w:tr>
      <w:tr>
        <w:trPr>
          <w:cantSplit/>
          <w:trHeight w:val="129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Identity of each measured species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Scientific name without author abbreviation, as accepted by The Plant List</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sp_ntrees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Number of trees measured of each species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number of trees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sp_leaf_habit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Leaf habit of the measured species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sp_basal_area_perc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Basal area occupied by each measured species, in percentage over total stand basal 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code assigned by contributors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pl_species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identity of the measured plant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Scientific name without author abbreviation, as accepted by The Plant List</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pl_treatment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Experimental treatment (if any)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pl_dbh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Diameter at breast height of measured plants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pl_height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Height of measured plants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pl_age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age at the moment of measure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years</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pl_social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social status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pl_sapw_area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Cross-sectional sapwood 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cm2</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pl_sapw_depth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Sapwood depth, measured at breast height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pl_bark_thick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bark thickness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pl_leaf_area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Leaf area of eachvvmeasured plant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pl_sens_meth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measures method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pl_sens_man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measures sensor manufacturer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pl_sens_cor_grad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Correction for natural temperature gradients method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pl_sens_cor_zero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Zero flow determination method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pl_sens_calib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Was species-specific calibration used?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pl_sap_units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Uniformized sapfluxnet units for sapwood, leaf and plant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pl_sap_units_orig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Original contribution units (at sapwood or plant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pl_sens_length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Length of the needles or electrodes forming the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pl_sens_hgt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Sensor installation height, measured from the ground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pl_sens_timestep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Subdaily time step of sensor measures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minutes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pl_radial_int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pl_azimut_int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pl_remarks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plant-specific peculiarities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pl_code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plant code, unique for each plant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env_time_zone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zone of site used in the TIMESTAMPS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env_time_daylight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 daylight saving time applied to the original timestamp?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env_timestep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Subdaily timestep of environmental measures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minutes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air temperature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env_rh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relative humidity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env_vpd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relative vapour pressure decifit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env_sw_in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shortwave incoming radiation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env_ppfd_in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incoming photosynthetic photon flux density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env_netrad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net radiation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env_ws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wind speed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env_precip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precipitation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env_swc_shallow_depth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Average depth for shallow soil water content measures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env_swc_deep_depth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Average depth for deep soil water content measures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env_plant_watpot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Availability of water potential values for the same measured plants during the sap flow measurements period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env_leafarea_seasonal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Availability of seasonal course leaf area data and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1008" w:hRule="exact"/>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env_remarks</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environmental-specific peculiarities</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bl>
    <w:p>
      <w:r>
        <w:br w:type="page"/>
      </w:r>
    </w:p>
    <w:p>
      <w:pPr>
        <w:pStyle w:val="CaptionedFigure"/>
      </w:pPr>
      <w:r>
        <w:drawing>
          <wp:inline>
            <wp:extent cx="5943600" cy="2841783"/>
            <wp:effectExtent b="0" l="0" r="0" t="0"/>
            <wp:docPr descr="Figure S3. Screenshot of the data cleaning app" title="" id="1" name="Picture"/>
            <a:graphic>
              <a:graphicData uri="http://schemas.openxmlformats.org/drawingml/2006/picture">
                <pic:pic>
                  <pic:nvPicPr>
                    <pic:cNvPr descr="resources/out_app.png" id="0" name="Picture"/>
                    <pic:cNvPicPr>
                      <a:picLocks noChangeArrowheads="1" noChangeAspect="1"/>
                    </pic:cNvPicPr>
                  </pic:nvPicPr>
                  <pic:blipFill>
                    <a:blip r:embed="rId24"/>
                    <a:stretch>
                      <a:fillRect/>
                    </a:stretch>
                  </pic:blipFill>
                  <pic:spPr bwMode="auto">
                    <a:xfrm>
                      <a:off x="0" y="0"/>
                      <a:ext cx="5943600" cy="2841783"/>
                    </a:xfrm>
                    <a:prstGeom prst="rect">
                      <a:avLst/>
                    </a:prstGeom>
                    <a:noFill/>
                    <a:ln w="9525">
                      <a:noFill/>
                      <a:headEnd/>
                      <a:tailEnd/>
                    </a:ln>
                  </pic:spPr>
                </pic:pic>
              </a:graphicData>
            </a:graphic>
          </wp:inline>
        </w:drawing>
      </w:r>
    </w:p>
    <w:p>
      <w:pPr>
        <w:pStyle w:val="ImageCaption"/>
      </w:pPr>
      <w:r>
        <w:t xml:space="preserve">Figure S3. Screenshot of the data cleaning app</w:t>
      </w:r>
    </w:p>
    <w:p>
      <w:r>
        <w:br w:type="page"/>
      </w:r>
    </w:p>
    <w:p>
      <w:pPr>
        <w:pStyle w:val="TableCaption"/>
      </w:pPr>
      <w:r>
        <w:t xml:space="preserve">Table S3. Datasets in the SAPFLUXNET database identified by</w:t>
      </w:r>
      <w:r>
        <w:t xml:space="preserve"> </w:t>
      </w:r>
      <w:r>
        <w:t xml:space="preserve">numeric code, dataset code and site name. Geographic</w:t>
      </w:r>
      <w:r>
        <w:t xml:space="preserve"> </w:t>
      </w:r>
      <w:r>
        <w:t xml:space="preserve">coordinates and elevation are also shown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576"/>
        <w:gridCol w:w="2448"/>
        <w:gridCol w:w="4320"/>
        <w:gridCol w:w="1008"/>
        <w:gridCol w:w="1008"/>
        <w:gridCol w:w="1152"/>
      </w:tblGrid>
      <w:tr>
        <w:trPr>
          <w:cantSplit/>
          <w:trHeight w:val="456"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Dataset code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Site name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Lat.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Long.</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Elev.</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ARG_MAZ</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Mazaruca_Patagonia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ARG_TRE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Tres Marias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AUS_BRI_BRI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Britannia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AUS_CAN_ST1_EUC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AUS_CAN_ST2_MIX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AUS_CAN_ST3_ACA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AUS_CAR_THI_00F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AUS_CAR_THI_0P0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AUS_CAR_THI_0PF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AUS_CAR_THI_T0F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AUS_CAR_THI_TP0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AUS_CAR_THI_TPF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AUS_ELL_HB_HIG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AUS_ELL_MB_MOD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AUS_ELL_UNB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AUS_KAR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Karijini NP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AUS_MAR_HSD_HIG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468.000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AUS_MAR_HSW_HIG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AUS_MAR_MSD_MOD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AUS_MAR_MSW_MOD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AUS_MAR_UBD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AUS_MAR_UBW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336.000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AUS_RIC_EUC_ELE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Richmond NSW EucFACE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AUS_WOM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WombatStateForest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AUT_PAT_FOR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AUT_PAT_KRU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AUT_PAT_TRE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AUT_TSC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Tschirgant south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BRA_CAM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Campos do Jordão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BRA_CAX_CON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Caxiuana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BRA_SAN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Santa Virgínia (PESM)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CAN_TUR_P39_POS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CAN_TUR_P39_PRE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CHE_DAV_SEE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Davos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CHE_LOT_NOR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Lotschental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CHE_PFY_CON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Pfynwald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CHE_PFY_IRR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Pfynwald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CHN_ARG_GWD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CHN_ARG_GWS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CHN_HOR_AFF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Horqin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226.500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CHN_YIN_ST2_DRO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CHN_YIN_ST3_DRO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CHN_YUN_YUN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Yunxiao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COL_MAC_SAF_RAD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Macagual Universidad de la Amazonia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CRI_TAM_TOW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TAMU Soltis Center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CZE_BIK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CZE_BIL_BIL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Bilovice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CZE_KRT_KRT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Krtiny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CZE_LAN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Lanžhot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CZE_LIZ_LES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Liz</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858.000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CZE_RAJ_RAJ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Rajec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CZE_SOB_SOB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Sobesice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CZE_STI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Stitna nad Vlari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CZE_UTE_BEE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CZE_UTE_BPO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CZE_UTE_SPR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DEU_HIN_OAK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Hinnensee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DEU_HIN_TER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Hinnensee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DEU_MER_BEE_NON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DEU_MER_BEE_THI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DEU_MER_DOU_NON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DEU_MER_DOU_THI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DEU_MER_MIX_NON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DEU_MER_MIX_THI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DEU_STE_2P3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Stechlin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DEU_STE_4P5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Stechlin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ESP_ALT_ARM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ESP_ALT_HUE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ESP_ALT_TRI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ESP_CAN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 Balasc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ESP_GUA_VAL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Guadarrama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ESP_LAH_COM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LaHarina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ESP_LAS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Las Canadas, Teide natinal park tenerife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28.31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ESP_MAJ_MAI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Majadas del Tietar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ESP_MAJ_NOR_LM1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Majadas del Tietar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ESP_MON_SIE_NAT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Montejo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ESP_RIN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Rinconada experimental catchment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ESP_RON_PIL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Ronda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ESP_SAN_A_45I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ESP_SAN_A2_45I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ESP_SAN_B_100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ESP_SAN_B2_100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ESP_TIL_MIX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1018.000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ESP_TIL_OAK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ESP_TIL_PIN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ESP_VAL_BAR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Vallcebre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1102.000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ESP_VAL_SOR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Vallcebre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1257.000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ESP_YUN_C1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ESP_YUN_C2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ESP_YUN_T1_THI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ESP_YUN_T3_THI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FIN_HYY_SME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Hyytiala Forest Field 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FIN_PET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Petsikko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FRA_FON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Fontainebleau-Barbeau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FRA_HES_HE1_NON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Hesse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FRA_HES_HE2_NON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Hesse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FRA_PUE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Puechabon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GBR_ABE_PLO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Aberfeldy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GBR_DEV_CON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Devilla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GBR_DEV_DRO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Devilla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GUF_GUY_GUY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Guyaflux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GUF_GUY_ST2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Guyaflux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-52.91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GUF_NOU_PET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Nouragues 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HUN_SIK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Sikfokut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IDN_JAM_OIL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Jambi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IDN_JAM_RUB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Jambi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IDN_PON_STE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Pono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ISR_YAT_YAT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Yatir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ITA_FEI_S17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Feichtwald-Matsch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1715.000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ITA_KAE_S20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Kaelbergangl-Matsch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ITA_MAT_S21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Matscher Alm-Matsch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ITA_MUN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Muntatschinig-Matsch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ITA_REN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Renon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ITA_RUN_N20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Runer Koepfl-Matsch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ITA_TOR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Torgnon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JPN_EBE_HYB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Ebetsu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JPN_EBE_SUG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Ebetsu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KOR_TAE_TC1_LOW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KOR_TAE_TC2_MED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KOR_TAE_TC3_EXT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MDG_SEM_TAL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Semi-mature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MDG_YOU_SHO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Young secondary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MEX_COR_YP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Cortadura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MEX_VER_BSJ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VERACRUZ_BSJ</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MEX_VER_BSM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VERACRUZ_BSM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NLD_LOO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Loobos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NLD_SPE_DOU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Speulderbos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NZL_HUA_HUA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Huapai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PRT_LEZ_ARN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LEZIRIAS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PRT_MIT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MITRA 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PRT_PIN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Pinheiro da Cruz</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RUS_CHE_LOW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Cherskii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RUS_CHE_Y4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RUS_FYO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Fyodorovskoye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56.46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RUS_POG_VAR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Pogorelsky Bor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SWE_NOR_ST1_AF1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SWE_NOR_ST1_AF2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SWE_NOR_ST1_BEF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SWE_NOR_ST4_AFT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SWE_NOR_ST4_BEF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SWE_NOR_ST5_REF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SWE_SKO_MIN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Skogaryd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SWE_SKY_38Y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Skyttorp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SWE_SKY_68Y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Skyttorp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SWE_SVA_MIX_NON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Svartberget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THA_KHU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Khu-Muang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USA_BNZ_BLA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BNZSPRC1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USA_CHE_ASP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USA_CHE_MAP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USA_DUK_HAR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Duke Blackwood Hardwood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USA_HIL_HF1_POS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USA_HIL_HF1_PRE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USA_HUY_LIN_NON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Huyck Preserve  Lincoln Pond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NA</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USA_INM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INMMSF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286.000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USA_MOR_SF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Morgan-Monroe State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USA_NWH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NWhiteRiver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48.768</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USA_ORN_ST1_AMB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USA_ORN_ST2_AMB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USA_ORN_ST3_ELE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USA_ORN_ST4_ELE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USA_PAR_FER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Parker Tract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USA_PER_PER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Perry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14.000</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USA_PJS_P04_AMB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1911.000</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USA_PJS_P08_AMB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1911.000</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USA_PJS_P12_AMB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USA_SIL_OAK_1PR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USA_SIL_OAK_2PR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USA_SMI_SCB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Smithsonian Conservation Biology Insitute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USA_SMI_SER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Smithsonian Environmental Research Center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USA_SWH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SWhiteRiver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44.196</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USA_SYL_HL1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Sylvania Wilderness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USA_SYL_HL2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Sylvania Wilderness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TNBSF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36.47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TNOAK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TNPINE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342.000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TNYPOP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USA_UMB_CON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UMBS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236.000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USA_UMB_GIR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UMB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USA_WIL_WC1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Willow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USA_WIL_WC2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Willow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USA_WVF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WVFEF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UZB_YAN_DIS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Yangibazar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ZAF_FRA_FRA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Franshoek South Africa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-33.88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ZAF_NOO_E3_IRR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Nooitgedacht farm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Radyn EGVV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ZAF_SOU_SOU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Southfield EGVV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389.000</w:t>
            </w:r>
          </w:p>
        </w:tc>
      </w:tr>
      <w:tr>
        <w:trPr>
          <w:cantSplit/>
          <w:trHeight w:val="288" w:hRule="exact"/>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ZAF_WEL_SOR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Wellington Western Cape</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-33.48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81.000</w:t>
            </w:r>
          </w:p>
        </w:tc>
      </w:tr>
    </w:tbl>
    <w:p>
      <w:r>
        <w:br w:type="page"/>
      </w:r>
    </w:p>
    <w:p>
      <w:pPr>
        <w:pStyle w:val="CaptionedFigure"/>
      </w:pPr>
      <w:r>
        <w:drawing>
          <wp:inline>
            <wp:extent cx="5943600" cy="7132320"/>
            <wp:effectExtent b="0" l="0" r="0" t="0"/>
            <wp:docPr descr="Figure S4. Detailed geographic distribution of SAPFLUXNET datasets" title="" id="1" name="Picture"/>
            <a:graphic>
              <a:graphicData uri="http://schemas.openxmlformats.org/drawingml/2006/picture">
                <pic:pic>
                  <pic:nvPicPr>
                    <pic:cNvPr descr="supporting_files/figure-docx/regional_maps-1.png" id="0" name="Picture"/>
                    <pic:cNvPicPr>
                      <a:picLocks noChangeArrowheads="1" noChangeAspect="1"/>
                    </pic:cNvPicPr>
                  </pic:nvPicPr>
                  <pic:blipFill>
                    <a:blip r:embed="rId25"/>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S4. Detailed geographic distribution of SAPFLUXNET datasets</w:t>
      </w:r>
    </w:p>
    <w:p>
      <w:r>
        <w:br w:type="page"/>
      </w:r>
    </w:p>
    <w:p>
      <w:pPr>
        <w:pStyle w:val="TableCaption"/>
      </w:pPr>
      <w:r>
        <w:t xml:space="preserve">Table S4. Number of trees per species in the SAPFLUXNET database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880"/>
        <w:gridCol w:w="720"/>
        <w:gridCol w:w="2880"/>
        <w:gridCol w:w="432"/>
        <w:gridCol w:w="2880"/>
        <w:gridCol w:w="432"/>
      </w:tblGrid>
      <w:tr>
        <w:trPr>
          <w:cantSplit/>
          <w:trHeight w:val="312"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sylvestris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tortilis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 serotina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canescens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saccharum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 obovata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camaldulensis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sylvatica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 betulus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rosea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taeda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 acuminatissima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tremuloides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patula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dives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koraiensis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radiata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octandra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nitens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 subsp. czerepanovii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 racemosa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strobus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 marina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 bidentata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 styraciflua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robur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membranacea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excelsior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grandiflora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rubrum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viridis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 tulipifera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Myrtales fam.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 macrocarpa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grandifolia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 luzoniense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 novogranatensis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resinosa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 excelsa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 anisophyllum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globulus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firma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 idiopoda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decidua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 australis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 baccata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pinsapo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 virginiana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mearnsii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mariana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pyrenaica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pumilio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glauca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rubra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cunninghamii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petraea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cypellocarpa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cordiformis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 menziesii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rubida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prinus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halepensis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 angustifolia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velutina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 triplinervia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tricolor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 canadensis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 apiculata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 poiteaui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cajanderi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michauxii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cerris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papyrifera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phellos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 lindenii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montana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rigida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balsamea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antarctica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baxteri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 alicastrum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cembra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 quadrifida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euphratica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coriacea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 costaricense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 europaea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 unedo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rotundifolia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 altissima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 desmanthum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suber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alleghaniensis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pendula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nigra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pennsylvanica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 sagotiana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sitchensis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anomala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edulis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 tenuifolium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 speciosum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 monosperma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 alchorneoides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kaempferi x 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victrix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 schottiana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 japonica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obliqua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 formosa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lyrata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 cacao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 samosa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 guianensis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coccinea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 riparia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 ditimena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grandidentata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 aquifolium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 ramiflora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 domestica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tereticornis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 asbeckii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 pedunculata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faginea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 insignis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canariensis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 arborea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 albidum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 guineensis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longifolia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pinaster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sibirica Ledeb.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falcata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 occidentalis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 florida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tomentosa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sibirica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rodriguesii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 guianensis</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virginiana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 rubra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bl>
    <w:p>
      <w:r>
        <w:br w:type="page"/>
      </w:r>
    </w:p>
    <w:p>
      <w:pPr>
        <w:pStyle w:val="TableCaption"/>
      </w:pPr>
      <w:r>
        <w:t xml:space="preserve">Table S5. Number of trees per genus in the SAPFLUXNET database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551"/>
        <w:gridCol w:w="1000"/>
        <w:gridCol w:w="1587"/>
        <w:gridCol w:w="1184"/>
        <w:gridCol w:w="2138"/>
        <w:gridCol w:w="1184"/>
      </w:tblGrid>
      <w:tr>
        <w:trPr>
          <w:cantSplit/>
          <w:trHeight w:val="312"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Myrtales fam.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r>
    </w:tbl>
    <w:p>
      <w:r>
        <w:br w:type="page"/>
      </w:r>
    </w:p>
    <w:p>
      <w:pPr>
        <w:pStyle w:val="TableCaption"/>
      </w:pPr>
      <w:r>
        <w:t xml:space="preserve">Table S6. Number of species per dataset in the SAPFLUXNET database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880"/>
        <w:gridCol w:w="720"/>
        <w:gridCol w:w="2880"/>
        <w:gridCol w:w="432"/>
        <w:gridCol w:w="2880"/>
        <w:gridCol w:w="432"/>
      </w:tblGrid>
      <w:tr>
        <w:trPr>
          <w:cantSplit/>
          <w:trHeight w:val="310"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datasets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datasets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datasets</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sylvestris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faginea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rodriguesii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lyrata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 costaricense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sylvatica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 bidentata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rubrum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pyrenaica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 idiopoda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 tulipifera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 schottiana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 styraciflua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 anisophyllum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saccharum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antarctica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nitens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 canadensis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cunninghamii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decidua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balsamea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pumilio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 ditimena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 samosa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cembra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longifolia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 novogranatensis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taeda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 australis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 luzoniense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euphratica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 triplinervia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glauca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 macrocarpa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mariana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rubra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 unedo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sitchensis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pinsapo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 desmanthum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canariensis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obliqua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 marina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patula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radiata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pendula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pinaster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 europaea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 subsp. czerepanovii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resinosa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strobus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sibirica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 menziesii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 ramiflora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virginiana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petraea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 alicastrum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cypellocarpa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 guianensis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 excelsa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grandifolia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cordiformis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 lindenii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coccinea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canescens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velutina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 acuminatissima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grandidentata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tortilis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 florida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tremuloides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anomala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 monosperma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firma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 domestica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 japonica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 virginiana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viridis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edulis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 tenuifolium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koraiensis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 angustifolia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 altissima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nigra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 guineensis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rosea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rigida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grandiflora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tricolor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montana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cerris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rotundifolia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camaldulensis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falcata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dives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michauxii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mearnsii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rubida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phellos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alleghaniensis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tereticornis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prinus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papyrifera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victrix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robur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suber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 betulus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 speciosum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tomentosa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excelsior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 formosa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 apiculata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 riparia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 albidum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 quadrifida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 alchorneoides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 pedunculata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 guianensis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 aquifolium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 rubra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coriacea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 racemosa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baxteri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 sagotiana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 baccata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globulus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 obovata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 cacao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pennsylvanica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 occidentalis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kaempferi x 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cajanderi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sibirica Ledeb.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 insignis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membranacea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 poiteaui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 asbeckii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Unkwown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halepensis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 serotina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octandra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 arborea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bl>
    <w:p>
      <w:r>
        <w:br w:type="page"/>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Ttulo1">
    <w:name w:val="Heading 1"/>
    <w:basedOn w:val="Normal"/>
    <w:next w:val="Cuerpodetexto"/>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Ttulo2">
    <w:name w:val="Heading 2"/>
    <w:basedOn w:val="Normal"/>
    <w:next w:val="Cuerpodetexto"/>
    <w:uiPriority w:val="9"/>
    <w:unhideWhenUsed/>
    <w:qFormat/>
    <w:pPr>
      <w:keepNext w:val="true"/>
      <w:keepLines/>
      <w:spacing w:before="200" w:after="0"/>
      <w:outlineLvl w:val="1"/>
    </w:pPr>
    <w:rPr>
      <w:rFonts w:ascii="Liberation Serif" w:hAnsi="Liberation Serif" w:eastAsia="" w:cs="" w:cstheme="majorBidi" w:eastAsiaTheme="majorEastAsia"/>
      <w:b/>
      <w:bCs/>
      <w:color w:val="000000"/>
      <w:sz w:val="32"/>
      <w:szCs w:val="32"/>
    </w:rPr>
  </w:style>
  <w:style w:type="paragraph" w:styleId="Ttulo3">
    <w:name w:val="Heading 3"/>
    <w:basedOn w:val="Normal"/>
    <w:next w:val="Cuerpodetexto"/>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Ttulo4">
    <w:name w:val="Heading 4"/>
    <w:basedOn w:val="Normal"/>
    <w:next w:val="Cuerpodetexto"/>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Ttulo5">
    <w:name w:val="Heading 5"/>
    <w:basedOn w:val="Normal"/>
    <w:next w:val="Cuerpodetexto"/>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Ttulo6">
    <w:name w:val="Heading 6"/>
    <w:basedOn w:val="Normal"/>
    <w:next w:val="Cuerpodetexto"/>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Ttulo7">
    <w:name w:val="Heading 7"/>
    <w:basedOn w:val="Normal"/>
    <w:next w:val="Cuerpodetexto"/>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Ttulo8">
    <w:name w:val="Heading 8"/>
    <w:basedOn w:val="Normal"/>
    <w:next w:val="Cuerpodetexto"/>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Ttulo9">
    <w:name w:val="Heading 9"/>
    <w:basedOn w:val="Normal"/>
    <w:next w:val="Cuerpodetexto"/>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Ancladenotaalpie">
    <w:name w:val="Ancla de nota al pie"/>
    <w:rPr>
      <w:vertAlign w:val="superscript"/>
    </w:rPr>
  </w:style>
  <w:style w:type="character" w:styleId="FootnoteCharacters">
    <w:name w:val="Footnote Characters"/>
    <w:basedOn w:val="BodyTextChar"/>
    <w:qFormat/>
    <w:rPr>
      <w:vertAlign w:val="superscript"/>
    </w:rPr>
  </w:style>
  <w:style w:type="character" w:styleId="EnlacedeInternet">
    <w:name w:val="Enlace de Internet"/>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link w:val="BodyTextChar"/>
    <w:qFormat/>
    <w:pPr>
      <w:spacing w:before="180" w:after="180"/>
    </w:pPr>
    <w:rPr/>
  </w:style>
  <w:style w:type="paragraph" w:styleId="Lista">
    <w:name w:val="List"/>
    <w:basedOn w:val="Cuerpodetexto"/>
    <w:pPr/>
    <w:rPr>
      <w:rFonts w:cs="Lohit Devanagari"/>
    </w:rPr>
  </w:style>
  <w:style w:type="paragraph" w:styleId="Leyenda">
    <w:name w:val="Caption"/>
    <w:basedOn w:val="Normal"/>
    <w:link w:val="BodyTextChar"/>
    <w:qFormat/>
    <w:pPr>
      <w:spacing w:before="0" w:after="120"/>
    </w:pPr>
    <w:rPr>
      <w:i/>
    </w:rPr>
  </w:style>
  <w:style w:type="paragraph" w:styleId="Ndice">
    <w:name w:val="Índice"/>
    <w:basedOn w:val="Normal"/>
    <w:qFormat/>
    <w:pPr>
      <w:suppressLineNumbers/>
    </w:pPr>
    <w:rPr>
      <w:rFonts w:cs="Lohit Devanagari"/>
    </w:rPr>
  </w:style>
  <w:style w:type="paragraph" w:styleId="FirstParagraph" w:customStyle="1">
    <w:name w:val="First Paragraph"/>
    <w:basedOn w:val="Cuerpodetexto"/>
    <w:next w:val="Cuerpodetexto"/>
    <w:qFormat/>
    <w:pPr/>
    <w:rPr>
      <w:rFonts w:ascii="Liberation Serif" w:hAnsi="Liberation Serif"/>
    </w:rPr>
  </w:style>
  <w:style w:type="paragraph" w:styleId="Compact" w:customStyle="1">
    <w:name w:val="Compact"/>
    <w:basedOn w:val="Cuerpodetexto"/>
    <w:qFormat/>
    <w:pPr>
      <w:spacing w:before="36" w:after="36"/>
    </w:pPr>
    <w:rPr/>
  </w:style>
  <w:style w:type="paragraph" w:styleId="Titular">
    <w:name w:val="Title"/>
    <w:basedOn w:val="Normal"/>
    <w:next w:val="Cuerpodetexto"/>
    <w:qFormat/>
    <w:pPr>
      <w:keepNext w:val="true"/>
      <w:keepLines/>
      <w:spacing w:before="480" w:after="240"/>
      <w:jc w:val="center"/>
    </w:pPr>
    <w:rPr>
      <w:rFonts w:ascii="Liberation Serif" w:hAnsi="Liberation Serif" w:eastAsia="" w:cs="" w:cstheme="majorBidi" w:eastAsiaTheme="majorEastAsia"/>
      <w:b/>
      <w:bCs/>
      <w:color w:val="000000" w:themeShade="b5"/>
      <w:sz w:val="36"/>
      <w:szCs w:val="36"/>
    </w:rPr>
  </w:style>
  <w:style w:type="paragraph" w:styleId="Subttulo">
    <w:name w:val="Subtitle"/>
    <w:basedOn w:val="Titular"/>
    <w:next w:val="Cuerpodetexto"/>
    <w:qFormat/>
    <w:pPr>
      <w:keepNext w:val="true"/>
      <w:keepLines/>
      <w:spacing w:before="240" w:after="240"/>
      <w:jc w:val="center"/>
    </w:pPr>
    <w:rPr>
      <w:sz w:val="30"/>
      <w:szCs w:val="30"/>
    </w:rPr>
  </w:style>
  <w:style w:type="paragraph" w:styleId="Author" w:customStyle="1">
    <w:name w:val="Author"/>
    <w:next w:val="Cuerpodetexto"/>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Cuerpodetexto"/>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Cuerpodetexto"/>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Cuerpodetexto"/>
    <w:next w:val="Cuerpodetexto"/>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Notaalpi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Leyenda"/>
    <w:qFormat/>
    <w:pPr>
      <w:keepNext w:val="true"/>
    </w:pPr>
    <w:rPr/>
  </w:style>
  <w:style w:type="paragraph" w:styleId="ImageCaption" w:customStyle="1">
    <w:name w:val="Image Caption"/>
    <w:basedOn w:val="Leyenda"/>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TOCHeading">
    <w:name w:val="TOC Heading"/>
    <w:basedOn w:val="Ttulo1"/>
    <w:next w:val="Cuerpodetexto"/>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svg" /><Relationship Type="http://schemas.openxmlformats.org/officeDocument/2006/relationships/image" Id="rId24" Target="media/rId24.png" /><Relationship Type="http://schemas.openxmlformats.org/officeDocument/2006/relationships/image" Id="rId23" Target="media/rId23.sv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Application>LibreOffice/6.3.4.2$Linux_X86_64 LibreOffice_project/30$Build-2</Application>
  <Pages>2</Pages>
  <Words>146</Words>
  <Characters>667</Characters>
  <CharactersWithSpaces>865</CharactersWithSpaces>
  <Paragraphs>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SAPFLUXNET data paper:supporting information</dc:title>
  <dc:creator>R. Poyatos</dc:creator>
  <cp:keywords/>
  <dcterms:created xsi:type="dcterms:W3CDTF">2020-02-14T16:21:57Z</dcterms:created>
  <dcterms:modified xsi:type="dcterms:W3CDTF">2020-02-14T16:21:57Z</dcterms:modified>
</cp:coreProperties>
</file>