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4.png" ContentType="image/png"/>
  <Override PartName="/word/media/rId26.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SAPFLUXNET:</w:t>
      </w:r>
      <w:r>
        <w:t xml:space="preserve"> </w:t>
      </w: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p>
    <w:p>
      <w:pPr>
        <w:pStyle w:val="Subttulo"/>
      </w:pPr>
      <w:r>
        <w:t xml:space="preserve">Supplement</w:t>
      </w:r>
    </w:p>
    <w:p>
      <w:pPr>
        <w:pStyle w:val="Date"/>
      </w:pPr>
      <w:r>
        <w:t xml:space="preserve">24/03/020</w:t>
      </w:r>
    </w:p>
    <w:p>
      <w:pPr>
        <w:pStyle w:val="Ttulo2"/>
      </w:pPr>
      <w:bookmarkStart w:id="20" w:name="table-captions"/>
      <w:r>
        <w:t xml:space="preserve">Table captions</w:t>
      </w:r>
      <w:bookmarkEnd w:id="20"/>
    </w:p>
    <w:p>
      <w:pPr>
        <w:pStyle w:val="FirstParagraph"/>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Table S2.</w:t>
      </w:r>
      <w:r>
        <w:t xml:space="preserve"> </w:t>
      </w:r>
      <w:r>
        <w:t xml:space="preserve">Description of site metadata variables in SAPFLUXNET datasets.</w:t>
      </w:r>
    </w:p>
    <w:p>
      <w:pPr>
        <w:pStyle w:val="Cuerpodetexto"/>
      </w:pPr>
      <w:r>
        <w:rPr>
          <w:b/>
        </w:rPr>
        <w:t xml:space="preserve">Table S3.</w:t>
      </w:r>
      <w:r>
        <w:t xml:space="preserve"> </w:t>
      </w:r>
      <w:r>
        <w:t xml:space="preserve">Description of stand metadata variables in SAPFLUXNET datasets.</w:t>
      </w:r>
    </w:p>
    <w:p>
      <w:pPr>
        <w:pStyle w:val="Cuerpodetexto"/>
      </w:pPr>
      <w:r>
        <w:rPr>
          <w:b/>
        </w:rPr>
        <w:t xml:space="preserve">Table S4.</w:t>
      </w:r>
      <w:r>
        <w:t xml:space="preserve"> </w:t>
      </w:r>
      <w:r>
        <w:t xml:space="preserve">Description of species metadata variables in SAPFLUXNET datasets.</w:t>
      </w:r>
    </w:p>
    <w:p>
      <w:pPr>
        <w:pStyle w:val="Cuerpodetexto"/>
      </w:pPr>
      <w:r>
        <w:rPr>
          <w:b/>
        </w:rPr>
        <w:t xml:space="preserve">Table S5.</w:t>
      </w:r>
      <w:r>
        <w:t xml:space="preserve"> </w:t>
      </w:r>
      <w:r>
        <w:t xml:space="preserve">Description of plant metadata variables in SAPFLUXNET datasets.</w:t>
      </w:r>
    </w:p>
    <w:p>
      <w:pPr>
        <w:pStyle w:val="Cuerpodetexto"/>
      </w:pPr>
      <w:r>
        <w:rPr>
          <w:b/>
        </w:rPr>
        <w:t xml:space="preserve">Table S6.</w:t>
      </w:r>
      <w:r>
        <w:t xml:space="preserve"> </w:t>
      </w:r>
      <w:r>
        <w:t xml:space="preserve">Description of environmental metadata variables in SAPFLUXNET datasets.</w:t>
      </w:r>
    </w:p>
    <w:p>
      <w:pPr>
        <w:pStyle w:val="Cuerpodetexto"/>
      </w:pPr>
      <w:r>
        <w:rPr>
          <w:b/>
        </w:rPr>
        <w:t xml:space="preserve">Table S7</w:t>
      </w:r>
      <w:r>
        <w:t xml:space="preserve"> </w:t>
      </w:r>
      <w:r>
        <w:t xml:space="preserve">Data checks implemented in the first level of data quality control</w:t>
      </w:r>
      <w:r>
        <w:t xml:space="preserve"> </w:t>
      </w:r>
      <w:r>
        <w:t xml:space="preserve">(QC1).</w:t>
      </w:r>
    </w:p>
    <w:p>
      <w:pPr>
        <w:pStyle w:val="Cuerpodetexto"/>
      </w:pPr>
      <w:r>
        <w:rPr>
          <w:b/>
        </w:rPr>
        <w:t xml:space="preserve">Table S8.</w:t>
      </w:r>
      <w:r>
        <w:t xml:space="preserve"> </w:t>
      </w:r>
      <w:r>
        <w:t xml:space="preserve">Datasets in the SAPFLUXNET database identified by numeric code,</w:t>
      </w:r>
      <w:r>
        <w:t xml:space="preserve"> </w:t>
      </w:r>
      <w:r>
        <w:t xml:space="preserve">dataset code and site name. Geographic coordinates and elevation are also shown.</w:t>
      </w:r>
      <w:r>
        <w:t xml:space="preserve"> </w:t>
      </w:r>
      <w:r>
        <w:t xml:space="preserve">Negative values shown for Southern and Western Hemispheres.</w:t>
      </w:r>
    </w:p>
    <w:p>
      <w:pPr>
        <w:pStyle w:val="Cuerpodetexto"/>
      </w:pPr>
      <w:r>
        <w:rPr>
          <w:b/>
        </w:rPr>
        <w:t xml:space="preserve">Table S9.</w:t>
      </w:r>
      <w:r>
        <w:t xml:space="preserve"> </w:t>
      </w:r>
      <w:r>
        <w:t xml:space="preserve">Number of plants per species present in the SAPFLUXNET database.</w:t>
      </w:r>
    </w:p>
    <w:p>
      <w:pPr>
        <w:pStyle w:val="Cuerpodetexto"/>
      </w:pPr>
      <w:r>
        <w:rPr>
          <w:b/>
        </w:rPr>
        <w:t xml:space="preserve">Table S10.</w:t>
      </w:r>
      <w:r>
        <w:t xml:space="preserve"> </w:t>
      </w:r>
      <w:r>
        <w:t xml:space="preserve">Number of plants per genus present in the SAPFLUXNET database.</w:t>
      </w:r>
    </w:p>
    <w:p>
      <w:pPr>
        <w:pStyle w:val="Cuerpodetexto"/>
      </w:pPr>
      <w:r>
        <w:rPr>
          <w:b/>
        </w:rPr>
        <w:t xml:space="preserve">Table S11.</w:t>
      </w:r>
      <w:r>
        <w:t xml:space="preserve"> </w:t>
      </w:r>
      <w:r>
        <w:t xml:space="preserve">Number of species per dataset in the SAPFLUXNET database.</w:t>
      </w:r>
    </w:p>
    <w:p>
      <w:pPr>
        <w:pStyle w:val="Ttulo2"/>
      </w:pPr>
      <w:bookmarkStart w:id="21" w:name="figure-captions"/>
      <w:r>
        <w:t xml:space="preserve">Figure captions</w:t>
      </w:r>
      <w:bookmarkEnd w:id="21"/>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Figure S2.</w:t>
      </w:r>
      <w:r>
        <w:t xml:space="preserve"> </w:t>
      </w:r>
      <w:r>
        <w:t xml:space="preserve">Structure of sfn_data objects, which are based on the S4 class. Boxes in the figure</w:t>
      </w:r>
      <w:r>
        <w:t xml:space="preserve"> </w:t>
      </w:r>
      <w:r>
        <w:t xml:space="preserve">represent different slots where data are stored.</w:t>
      </w:r>
      <w:r>
        <w:t xml:space="preserve"> </w:t>
      </w:r>
      <w:r>
        <w:t xml:space="preserve">in R. 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plants in the dataset (and this is depicted by the different</w:t>
      </w:r>
      <w:r>
        <w:t xml:space="preserve"> </w:t>
      </w:r>
      <w:r>
        <w:t xml:space="preserve">length of the box).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2">
        <w:r>
          <w:rPr>
            <w:rStyle w:val="Hyperlink"/>
          </w:rPr>
          <w:t xml:space="preserve">sapfluxnetr</w:t>
        </w:r>
      </w:hyperlink>
      <w:r>
        <w:t xml:space="preserve">.</w:t>
      </w:r>
    </w:p>
    <w:p>
      <w:pPr>
        <w:pStyle w:val="Cuerpodetexto"/>
      </w:pPr>
      <w:r>
        <w:rPr>
          <w:b/>
        </w:rPr>
        <w:t xml:space="preserve">Figure S3.</w:t>
      </w:r>
      <w:r>
        <w:t xml:space="preserve"> </w:t>
      </w:r>
      <w:r>
        <w:t xml:space="preserve">Example 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Figure S4.</w:t>
      </w:r>
      <w:r>
        <w:t xml:space="preserve"> </w:t>
      </w:r>
      <w:r>
        <w:t xml:space="preserve">Detailed geographic distribution of SAPFLUXNET datasets. Datasets are labelled by dataset number in Table S4.</w:t>
      </w:r>
    </w:p>
    <w:p>
      <w:pPr>
        <w:pStyle w:val="Cuerpodetexto"/>
      </w:pPr>
      <w:r>
        <w:rPr>
          <w:b/>
        </w:rPr>
        <w:t xml:space="preserve">Figure S5.</w:t>
      </w:r>
      <w:r>
        <w:t xml:space="preserve"> </w:t>
      </w:r>
      <w:r>
        <w:t xml:space="preserve">Wordcloud of treatments at the stand (a) and at the plant (b) levels.</w:t>
      </w:r>
    </w:p>
    <w:p>
      <w:r>
        <w:br w:type="page"/>
      </w:r>
    </w:p>
    <w:p>
      <w:pPr>
        <w:pStyle w:val="Cuerpodetexto"/>
      </w:pPr>
      <w:r>
        <w:drawing>
          <wp:inline>
            <wp:extent cx="4720510" cy="7620000"/>
            <wp:effectExtent b="0" l="0" r="0" t="0"/>
            <wp:docPr descr="Figure S1. Overview of the data QC process" title="" id="1" name="Picture"/>
            <a:graphic>
              <a:graphicData uri="http://schemas.openxmlformats.org/drawingml/2006/picture">
                <pic:pic>
                  <pic:nvPicPr>
                    <pic:cNvPr descr="resources/QC_summary2.png" id="0" name="Picture"/>
                    <pic:cNvPicPr>
                      <a:picLocks noChangeArrowheads="1" noChangeAspect="1"/>
                    </pic:cNvPicPr>
                  </pic:nvPicPr>
                  <pic:blipFill>
                    <a:blip r:embed="rId23"/>
                    <a:stretch>
                      <a:fillRect/>
                    </a:stretch>
                  </pic:blipFill>
                  <pic:spPr bwMode="auto">
                    <a:xfrm>
                      <a:off x="0" y="0"/>
                      <a:ext cx="4720510"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 Data checks implemented in the QC1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943600" cy="2904564"/>
            <wp:effectExtent b="0" l="0" r="0" t="0"/>
            <wp:docPr descr="Figure S2. Structure of sfn_data objects" title="" id="1" name="Picture"/>
            <a:graphic>
              <a:graphicData uri="http://schemas.openxmlformats.org/drawingml/2006/picture">
                <pic:pic>
                  <pic:nvPicPr>
                    <pic:cNvPr descr="resources/schematics.png" id="0" name="Picture"/>
                    <pic:cNvPicPr>
                      <a:picLocks noChangeArrowheads="1" noChangeAspect="1"/>
                    </pic:cNvPicPr>
                  </pic:nvPicPr>
                  <pic:blipFill>
                    <a:blip r:embed="rId24"/>
                    <a:stretch>
                      <a:fillRect/>
                    </a:stretch>
                  </pic:blipFill>
                  <pic:spPr bwMode="auto">
                    <a:xfrm>
                      <a:off x="0" y="0"/>
                      <a:ext cx="5943600" cy="2904564"/>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296"/>
        <w:tblLook w:firstRow="1" w:lastRow="0" w:firstColumn="0" w:lastColumn="0" w:noHBand="0" w:noVBand="1"/>
      </w:tblPr>
      <w:tblGrid>
        <w:gridCol w:w="3600"/>
        <w:gridCol w:w="324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r>
    </w:tbl>
    <w:p>
      <w:r>
        <w:br w:type="page"/>
      </w:r>
    </w:p>
    <w:p>
      <w:pPr>
        <w:pStyle w:val="TableCaption"/>
      </w:pPr>
      <w:r>
        <w:t xml:space="preserve">Table S4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656"/>
        <w:tblLook w:firstRow="1" w:lastRow="0" w:firstColumn="0" w:lastColumn="0" w:noHBand="0" w:noVBand="1"/>
      </w:tblPr>
      <w:tblGrid>
        <w:gridCol w:w="3600"/>
        <w:gridCol w:w="1728"/>
        <w:gridCol w:w="3600"/>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129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r>
    </w:tbl>
    <w:p>
      <w:r>
        <w:br w:type="page"/>
      </w:r>
    </w:p>
    <w:p>
      <w:pPr>
        <w:pStyle w:val="TableCaption"/>
      </w:pPr>
      <w:r>
        <w:t xml:space="preserve">Table 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936"/>
        <w:tblLook w:firstRow="1" w:lastRow="0" w:firstColumn="0" w:lastColumn="0" w:noHBand="0" w:noVBand="1"/>
      </w:tblPr>
      <w:tblGrid>
        <w:gridCol w:w="3600"/>
        <w:gridCol w:w="1728"/>
        <w:gridCol w:w="2880"/>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r>
    </w:tbl>
    <w:p>
      <w:r>
        <w:br w:type="page"/>
      </w:r>
    </w:p>
    <w:p>
      <w:pPr>
        <w:pStyle w:val="TableCaption"/>
      </w:pPr>
      <w:r>
        <w:t xml:space="preserve">Table 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288"/>
        <w:tblLook w:firstRow="1" w:lastRow="0" w:firstColumn="0" w:lastColumn="0" w:noHBand="0" w:noVBand="1"/>
      </w:tblPr>
      <w:tblGrid>
        <w:gridCol w:w="2592"/>
        <w:gridCol w:w="324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in a visual app, examined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in a visual app, examined and removed or replaced,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5"/>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080"/>
        <w:tblLook w:firstRow="1" w:lastRow="0" w:firstColumn="0" w:lastColumn="0" w:noHBand="0" w:noVBand="1"/>
      </w:tblPr>
      <w:tblGrid>
        <w:gridCol w:w="576"/>
        <w:gridCol w:w="2448"/>
        <w:gridCol w:w="3600"/>
        <w:gridCol w:w="864"/>
        <w:gridCol w:w="864"/>
        <w:gridCol w:w="864"/>
        <w:gridCol w:w="864"/>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br/>
              <w:t xml:space="preserve">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spp.</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368"/>
        <w:tblLook w:firstRow="1" w:lastRow="0" w:firstColumn="0" w:lastColumn="0" w:noHBand="0" w:noVBand="1"/>
      </w:tblPr>
      <w:tblGrid>
        <w:gridCol w:w="1872"/>
        <w:gridCol w:w="864"/>
        <w:gridCol w:w="720"/>
        <w:gridCol w:w="1872"/>
        <w:gridCol w:w="864"/>
        <w:gridCol w:w="720"/>
        <w:gridCol w:w="1872"/>
        <w:gridCol w:w="864"/>
        <w:gridCol w:w="720"/>
      </w:tblGrid>
      <w:tr>
        <w:trPr>
          <w:cantSplit/>
          <w:trHeight w:val="309"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840"/>
        <w:tblLook w:firstRow="1" w:lastRow="0" w:firstColumn="0" w:lastColumn="0" w:noHBand="0" w:noVBand="1"/>
      </w:tblPr>
      <w:tblGrid>
        <w:gridCol w:w="1551"/>
        <w:gridCol w:w="1000"/>
        <w:gridCol w:w="1783"/>
        <w:gridCol w:w="1184"/>
        <w:gridCol w:w="2138"/>
        <w:gridCol w:w="1184"/>
      </w:tblGrid>
      <w:tr>
        <w:trPr>
          <w:cantSplit/>
          <w:trHeight w:val="313"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TableCaption"/>
      </w:pPr>
      <w:r>
        <w:t xml:space="preserve">Table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504"/>
        <w:tblLook w:firstRow="1" w:lastRow="0" w:firstColumn="0" w:lastColumn="0" w:noHBand="0" w:noVBand="1"/>
      </w:tblPr>
      <w:tblGrid>
        <w:gridCol w:w="2160"/>
        <w:gridCol w:w="1008"/>
        <w:gridCol w:w="2160"/>
        <w:gridCol w:w="1008"/>
        <w:gridCol w:w="2160"/>
        <w:gridCol w:w="1008"/>
      </w:tblGrid>
      <w:tr>
        <w:trPr>
          <w:cantSplit/>
          <w:trHeight w:val="309"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22"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SAPFLUXNET: Global transpiration data from sap flow measurements</dc:title>
  <dc:creator/>
  <cp:keywords/>
  <dcterms:created xsi:type="dcterms:W3CDTF">2020-05-28T20:10:13Z</dcterms:created>
  <dcterms:modified xsi:type="dcterms:W3CDTF">2020-05-28T20:10:13Z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24/03/020</vt:lpwstr>
  </property>
  <property fmtid="{D5CDD505-2E9C-101B-9397-08002B2CF9AE}" pid="3" name="output">
    <vt:lpwstr/>
  </property>
  <property fmtid="{D5CDD505-2E9C-101B-9397-08002B2CF9AE}" pid="4" name="subtitle">
    <vt:lpwstr>Supplement</vt:lpwstr>
  </property>
</Properties>
</file>