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rFonts w:ascii="Aptos" w:hAnsi="Aptos"/>
          <w:b/>
          <w:sz w:val="54"/>
        </w:rPr>
        <w:t>Foodbank Technical Handover Guide</w:t>
      </w:r>
    </w:p>
    <w:p>
      <w:pPr>
        <w:spacing w:after="360"/>
      </w:pPr>
      <w:r>
        <w:rPr>
          <w:rFonts w:ascii="Aptos" w:hAnsi="Aptos"/>
          <w:b w:val="0"/>
          <w:sz w:val="30"/>
        </w:rPr>
        <w:t>What a maintainer needs to know before changing the system</w:t>
      </w:r>
    </w:p>
    <w:p>
      <w:pPr>
        <w:spacing w:after="240" w:before="0" w:line="269" w:lineRule="auto"/>
      </w:pPr>
      <w:r>
        <w:rPr>
          <w:rFonts w:ascii="Aptos" w:hAnsi="Aptos"/>
          <w:b/>
          <w:sz w:val="21"/>
        </w:rPr>
        <w:t xml:space="preserve">Start here before making a change. </w:t>
      </w:r>
      <w:r>
        <w:rPr>
          <w:rFonts w:ascii="Aptos" w:hAnsi="Aptos"/>
          <w:b w:val="0"/>
          <w:sz w:val="20"/>
        </w:rPr>
        <w:t>This guide is an orientation document, not a replacement for the specifications. It records the boundaries and choices that make this project safe to maintain: where the source of truth lives, how the two applications fit together, why data is deliberately restricted, and what the System screens operate.</w:t>
      </w:r>
    </w:p>
    <w:p>
      <w:pPr>
        <w:pStyle w:val="Heading1"/>
        <w:keepNext/>
        <w:spacing w:before="280" w:after="120"/>
      </w:pPr>
      <w:r>
        <w:rPr>
          <w:rFonts w:ascii="Aptos" w:hAnsi="Aptos"/>
          <w:b/>
          <w:color w:val="000000"/>
          <w:sz w:val="32"/>
        </w:rPr>
        <w:t>The first five rules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2376"/>
            <w:shd w:fill="17365D"/>
            <w:tcMar>
              <w:top w:w="75" w:type="dxa"/>
              <w:start w:w="110" w:type="dxa"/>
              <w:bottom w:w="75" w:type="dxa"/>
              <w:end w:w="110" w:type="dxa"/>
            </w:tcMar>
            <w:vAlign w:val="center"/>
          </w:tcPr>
          <w:p>
            <w:r>
              <w:rPr>
                <w:rFonts w:ascii="Aptos" w:hAnsi="Aptos"/>
                <w:b/>
                <w:color w:val="FFFFFF"/>
                <w:sz w:val="18"/>
              </w:rPr>
              <w:t>Rule</w:t>
            </w:r>
          </w:p>
        </w:tc>
        <w:tc>
          <w:tcPr>
            <w:tcW w:type="dxa" w:w="7416"/>
            <w:shd w:fill="17365D"/>
            <w:tcMar>
              <w:top w:w="75" w:type="dxa"/>
              <w:start w:w="110" w:type="dxa"/>
              <w:bottom w:w="75" w:type="dxa"/>
              <w:end w:w="110" w:type="dxa"/>
            </w:tcMar>
            <w:vAlign w:val="center"/>
          </w:tcPr>
          <w:p>
            <w:r>
              <w:rPr>
                <w:rFonts w:ascii="Aptos" w:hAnsi="Aptos"/>
                <w:b/>
                <w:color w:val="FFFFFF"/>
                <w:sz w:val="18"/>
              </w:rPr>
              <w:t>Why it matters</w:t>
            </w:r>
          </w:p>
        </w:tc>
      </w:tr>
      <w:tr>
        <w:trPr>
          <w:cantSplit/>
        </w:trPr>
        <w:tc>
          <w:tcPr>
            <w:tcW w:type="dxa" w:w="2376"/>
            <w:tcMar>
              <w:top w:w="75" w:type="dxa"/>
              <w:start w:w="110" w:type="dxa"/>
              <w:bottom w:w="75" w:type="dxa"/>
              <w:end w:w="110" w:type="dxa"/>
            </w:tcMar>
            <w:vAlign w:val="center"/>
          </w:tcPr>
          <w:p>
            <w:pPr>
              <w:spacing w:after="0" w:line="250" w:lineRule="auto"/>
            </w:pPr>
            <w:r>
              <w:rPr>
                <w:rFonts w:ascii="Aptos" w:hAnsi="Aptos"/>
                <w:b w:val="0"/>
                <w:sz w:val="17"/>
              </w:rPr>
              <w:t>Read the right authority</w:t>
            </w:r>
          </w:p>
        </w:tc>
        <w:tc>
          <w:tcPr>
            <w:tcW w:type="dxa" w:w="7416"/>
            <w:tcMar>
              <w:top w:w="75" w:type="dxa"/>
              <w:start w:w="110" w:type="dxa"/>
              <w:bottom w:w="75" w:type="dxa"/>
              <w:end w:w="110" w:type="dxa"/>
            </w:tcMar>
            <w:vAlign w:val="center"/>
          </w:tcPr>
          <w:p>
            <w:pPr>
              <w:spacing w:after="0" w:line="250" w:lineRule="auto"/>
            </w:pPr>
            <w:r>
              <w:rPr>
                <w:rFonts w:ascii="Aptos" w:hAnsi="Aptos"/>
                <w:b w:val="0"/>
                <w:sz w:val="17"/>
              </w:rPr>
              <w:t>screenDetails.md defines client behaviour. ../foodbankserver/INITIAL_SPEC1.txt defines the shared domain. API.md and openapi.yaml define the contract. If they disagree, stop and ask rather than making code fit a guess.</w:t>
            </w:r>
          </w:p>
        </w:tc>
      </w:tr>
      <w:tr>
        <w:trPr>
          <w:cantSplit/>
        </w:trPr>
        <w:tc>
          <w:tcPr>
            <w:tcW w:type="dxa" w:w="2376"/>
            <w:tcMar>
              <w:top w:w="75" w:type="dxa"/>
              <w:start w:w="110" w:type="dxa"/>
              <w:bottom w:w="75" w:type="dxa"/>
              <w:end w:w="110" w:type="dxa"/>
            </w:tcMar>
            <w:vAlign w:val="center"/>
            <w:shd w:fill="F5F7F8"/>
          </w:tcPr>
          <w:p>
            <w:pPr>
              <w:spacing w:after="0" w:line="250" w:lineRule="auto"/>
            </w:pPr>
            <w:r>
              <w:rPr>
                <w:rFonts w:ascii="Aptos" w:hAnsi="Aptos"/>
                <w:b w:val="0"/>
                <w:sz w:val="17"/>
              </w:rPr>
              <w:t>Treat client and server as a pair</w:t>
            </w:r>
          </w:p>
        </w:tc>
        <w:tc>
          <w:tcPr>
            <w:tcW w:type="dxa" w:w="7416"/>
            <w:tcMar>
              <w:top w:w="75" w:type="dxa"/>
              <w:start w:w="110" w:type="dxa"/>
              <w:bottom w:w="75" w:type="dxa"/>
              <w:end w:w="110" w:type="dxa"/>
            </w:tcMar>
            <w:vAlign w:val="center"/>
            <w:shd w:fill="F5F7F8"/>
          </w:tcPr>
          <w:p>
            <w:pPr>
              <w:spacing w:after="0" w:line="250" w:lineRule="auto"/>
            </w:pPr>
            <w:r>
              <w:rPr>
                <w:rFonts w:ascii="Aptos" w:hAnsi="Aptos"/>
                <w:b w:val="0"/>
                <w:sz w:val="17"/>
              </w:rPr>
              <w:t>The React client is only one half. Its generated API types come from the adjacent foodbankserver repository, and many useful tests need the server running locally.</w:t>
            </w:r>
          </w:p>
        </w:tc>
      </w:tr>
      <w:tr>
        <w:trPr>
          <w:cantSplit/>
        </w:trPr>
        <w:tc>
          <w:tcPr>
            <w:tcW w:type="dxa" w:w="2376"/>
            <w:tcMar>
              <w:top w:w="75" w:type="dxa"/>
              <w:start w:w="110" w:type="dxa"/>
              <w:bottom w:w="75" w:type="dxa"/>
              <w:end w:w="110" w:type="dxa"/>
            </w:tcMar>
            <w:vAlign w:val="center"/>
          </w:tcPr>
          <w:p>
            <w:pPr>
              <w:spacing w:after="0" w:line="250" w:lineRule="auto"/>
            </w:pPr>
            <w:r>
              <w:rPr>
                <w:rFonts w:ascii="Aptos" w:hAnsi="Aptos"/>
                <w:b w:val="0"/>
                <w:sz w:val="17"/>
              </w:rPr>
              <w:t>Protect referral data by design</w:t>
            </w:r>
          </w:p>
        </w:tc>
        <w:tc>
          <w:tcPr>
            <w:tcW w:type="dxa" w:w="7416"/>
            <w:tcMar>
              <w:top w:w="75" w:type="dxa"/>
              <w:start w:w="110" w:type="dxa"/>
              <w:bottom w:w="75" w:type="dxa"/>
              <w:end w:w="110" w:type="dxa"/>
            </w:tcMar>
            <w:vAlign w:val="center"/>
          </w:tcPr>
          <w:p>
            <w:pPr>
              <w:spacing w:after="0" w:line="250" w:lineRule="auto"/>
            </w:pPr>
            <w:r>
              <w:rPr>
                <w:rFonts w:ascii="Aptos" w:hAnsi="Aptos"/>
                <w:b w:val="0"/>
                <w:sz w:val="17"/>
              </w:rPr>
              <w:t>No saved drafts, persistent cache, URL personal data, console logging, third-party analytics or session replay. Role-limited data is absent from responses, not merely hidden.</w:t>
            </w:r>
          </w:p>
        </w:tc>
      </w:tr>
      <w:tr>
        <w:trPr>
          <w:cantSplit/>
        </w:trPr>
        <w:tc>
          <w:tcPr>
            <w:tcW w:type="dxa" w:w="2376"/>
            <w:tcMar>
              <w:top w:w="75" w:type="dxa"/>
              <w:start w:w="110" w:type="dxa"/>
              <w:bottom w:w="75" w:type="dxa"/>
              <w:end w:w="110" w:type="dxa"/>
            </w:tcMar>
            <w:vAlign w:val="center"/>
            <w:shd w:fill="F5F7F8"/>
          </w:tcPr>
          <w:p>
            <w:pPr>
              <w:spacing w:after="0" w:line="250" w:lineRule="auto"/>
            </w:pPr>
            <w:r>
              <w:rPr>
                <w:rFonts w:ascii="Aptos" w:hAnsi="Aptos"/>
                <w:b w:val="0"/>
                <w:sz w:val="17"/>
              </w:rPr>
              <w:t>Do not make a screen more convenient by weakening a boundary</w:t>
            </w:r>
          </w:p>
        </w:tc>
        <w:tc>
          <w:tcPr>
            <w:tcW w:type="dxa" w:w="7416"/>
            <w:tcMar>
              <w:top w:w="75" w:type="dxa"/>
              <w:start w:w="110" w:type="dxa"/>
              <w:bottom w:w="75" w:type="dxa"/>
              <w:end w:w="110" w:type="dxa"/>
            </w:tcMar>
            <w:vAlign w:val="center"/>
            <w:shd w:fill="F5F7F8"/>
          </w:tcPr>
          <w:p>
            <w:pPr>
              <w:spacing w:after="0" w:line="250" w:lineRule="auto"/>
            </w:pPr>
            <w:r>
              <w:rPr>
                <w:rFonts w:ascii="Aptos" w:hAnsi="Aptos"/>
                <w:b w:val="0"/>
                <w:sz w:val="17"/>
              </w:rPr>
              <w:t>Referral status is not attendance; a published configuration is immutable; a confirmed session is final; a sensitive printed view uses a narrow endpoint.</w:t>
            </w:r>
          </w:p>
        </w:tc>
      </w:tr>
      <w:tr>
        <w:trPr>
          <w:cantSplit/>
        </w:trPr>
        <w:tc>
          <w:tcPr>
            <w:tcW w:type="dxa" w:w="2376"/>
            <w:tcMar>
              <w:top w:w="75" w:type="dxa"/>
              <w:start w:w="110" w:type="dxa"/>
              <w:bottom w:w="75" w:type="dxa"/>
              <w:end w:w="110" w:type="dxa"/>
            </w:tcMar>
            <w:vAlign w:val="center"/>
          </w:tcPr>
          <w:p>
            <w:pPr>
              <w:spacing w:after="0" w:line="250" w:lineRule="auto"/>
            </w:pPr>
            <w:r>
              <w:rPr>
                <w:rFonts w:ascii="Aptos" w:hAnsi="Aptos"/>
                <w:b w:val="0"/>
                <w:sz w:val="17"/>
              </w:rPr>
              <w:t>Finish with the full gate</w:t>
            </w:r>
          </w:p>
        </w:tc>
        <w:tc>
          <w:tcPr>
            <w:tcW w:type="dxa" w:w="7416"/>
            <w:tcMar>
              <w:top w:w="75" w:type="dxa"/>
              <w:start w:w="110" w:type="dxa"/>
              <w:bottom w:w="75" w:type="dxa"/>
              <w:end w:w="110" w:type="dxa"/>
            </w:tcMar>
            <w:vAlign w:val="center"/>
          </w:tcPr>
          <w:p>
            <w:pPr>
              <w:spacing w:after="0" w:line="250" w:lineRule="auto"/>
            </w:pPr>
            <w:r>
              <w:rPr>
                <w:rFonts w:ascii="Aptos" w:hAnsi="Aptos"/>
                <w:b w:val="0"/>
                <w:sz w:val="17"/>
              </w:rPr>
              <w:t>Run npm run check after a meaningful change. Regenerate generated types when the server contract changes and report any separate deployment verification honestly.</w:t>
            </w:r>
          </w:p>
        </w:tc>
      </w:tr>
    </w:tbl>
    <w:p>
      <w:pPr>
        <w:spacing w:after="40"/>
      </w:pPr>
    </w:p>
    <w:p>
      <w:pPr>
        <w:pStyle w:val="Heading1"/>
        <w:keepNext/>
        <w:spacing w:before="280" w:after="120"/>
      </w:pPr>
      <w:r>
        <w:rPr>
          <w:rFonts w:ascii="Aptos" w:hAnsi="Aptos"/>
          <w:b/>
          <w:color w:val="000000"/>
          <w:sz w:val="32"/>
        </w:rPr>
        <w:t>Where to look next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3960"/>
            <w:shd w:fill="17365D"/>
            <w:tcMar>
              <w:top w:w="75" w:type="dxa"/>
              <w:start w:w="110" w:type="dxa"/>
              <w:bottom w:w="75" w:type="dxa"/>
              <w:end w:w="110" w:type="dxa"/>
            </w:tcMar>
            <w:vAlign w:val="center"/>
          </w:tcPr>
          <w:p>
            <w:r>
              <w:rPr>
                <w:rFonts w:ascii="Aptos" w:hAnsi="Aptos"/>
                <w:b/>
                <w:color w:val="FFFFFF"/>
                <w:sz w:val="18"/>
              </w:rPr>
              <w:t>Question</w:t>
            </w:r>
          </w:p>
        </w:tc>
        <w:tc>
          <w:tcPr>
            <w:tcW w:type="dxa" w:w="5832"/>
            <w:shd w:fill="17365D"/>
            <w:tcMar>
              <w:top w:w="75" w:type="dxa"/>
              <w:start w:w="110" w:type="dxa"/>
              <w:bottom w:w="75" w:type="dxa"/>
              <w:end w:w="110" w:type="dxa"/>
            </w:tcMar>
            <w:vAlign w:val="center"/>
          </w:tcPr>
          <w:p>
            <w:r>
              <w:rPr>
                <w:rFonts w:ascii="Aptos" w:hAnsi="Aptos"/>
                <w:b/>
                <w:color w:val="FFFFFF"/>
                <w:sz w:val="18"/>
              </w:rPr>
              <w:t>Authoritative starting point</w:t>
            </w:r>
          </w:p>
        </w:tc>
      </w:tr>
      <w:tr>
        <w:trPr>
          <w:cantSplit/>
        </w:trPr>
        <w:tc>
          <w:tcPr>
            <w:tcW w:type="dxa" w:w="3960"/>
            <w:tcMar>
              <w:top w:w="75" w:type="dxa"/>
              <w:start w:w="110" w:type="dxa"/>
              <w:bottom w:w="75" w:type="dxa"/>
              <w:end w:w="110" w:type="dxa"/>
            </w:tcMar>
            <w:vAlign w:val="center"/>
          </w:tcPr>
          <w:p>
            <w:pPr>
              <w:spacing w:after="0" w:line="250" w:lineRule="auto"/>
            </w:pPr>
            <w:r>
              <w:rPr>
                <w:rFonts w:ascii="Aptos" w:hAnsi="Aptos"/>
                <w:b w:val="0"/>
                <w:sz w:val="17"/>
              </w:rPr>
              <w:t>What should the user experience do?</w:t>
            </w:r>
          </w:p>
        </w:tc>
        <w:tc>
          <w:tcPr>
            <w:tcW w:type="dxa" w:w="5832"/>
            <w:tcMar>
              <w:top w:w="75" w:type="dxa"/>
              <w:start w:w="110" w:type="dxa"/>
              <w:bottom w:w="75" w:type="dxa"/>
              <w:end w:w="110" w:type="dxa"/>
            </w:tcMar>
            <w:vAlign w:val="center"/>
          </w:tcPr>
          <w:p>
            <w:pPr>
              <w:spacing w:after="0" w:line="250" w:lineRule="auto"/>
            </w:pPr>
            <w:r>
              <w:rPr>
                <w:rFonts w:ascii="Aptos" w:hAnsi="Aptos"/>
                <w:b w:val="0"/>
                <w:sz w:val="17"/>
              </w:rPr>
              <w:t>screenDetails.md</w:t>
            </w:r>
          </w:p>
        </w:tc>
      </w:tr>
      <w:tr>
        <w:trPr>
          <w:cantSplit/>
        </w:trPr>
        <w:tc>
          <w:tcPr>
            <w:tcW w:type="dxa" w:w="3960"/>
            <w:tcMar>
              <w:top w:w="75" w:type="dxa"/>
              <w:start w:w="110" w:type="dxa"/>
              <w:bottom w:w="75" w:type="dxa"/>
              <w:end w:w="110" w:type="dxa"/>
            </w:tcMar>
            <w:vAlign w:val="center"/>
            <w:shd w:fill="F5F7F8"/>
          </w:tcPr>
          <w:p>
            <w:pPr>
              <w:spacing w:after="0" w:line="250" w:lineRule="auto"/>
            </w:pPr>
            <w:r>
              <w:rPr>
                <w:rFonts w:ascii="Aptos" w:hAnsi="Aptos"/>
                <w:b w:val="0"/>
                <w:sz w:val="17"/>
              </w:rPr>
              <w:t>What does the shared domain mean?</w:t>
            </w:r>
          </w:p>
        </w:tc>
        <w:tc>
          <w:tcPr>
            <w:tcW w:type="dxa" w:w="5832"/>
            <w:tcMar>
              <w:top w:w="75" w:type="dxa"/>
              <w:start w:w="110" w:type="dxa"/>
              <w:bottom w:w="75" w:type="dxa"/>
              <w:end w:w="110" w:type="dxa"/>
            </w:tcMar>
            <w:vAlign w:val="center"/>
            <w:shd w:fill="F5F7F8"/>
          </w:tcPr>
          <w:p>
            <w:pPr>
              <w:spacing w:after="0" w:line="250" w:lineRule="auto"/>
            </w:pPr>
            <w:r>
              <w:rPr>
                <w:rFonts w:ascii="Aptos" w:hAnsi="Aptos"/>
                <w:b w:val="0"/>
                <w:sz w:val="17"/>
              </w:rPr>
              <w:t>../foodbankserver/INITIAL_SPEC1.txt</w:t>
            </w:r>
          </w:p>
        </w:tc>
      </w:tr>
      <w:tr>
        <w:trPr>
          <w:cantSplit/>
        </w:trPr>
        <w:tc>
          <w:tcPr>
            <w:tcW w:type="dxa" w:w="3960"/>
            <w:tcMar>
              <w:top w:w="75" w:type="dxa"/>
              <w:start w:w="110" w:type="dxa"/>
              <w:bottom w:w="75" w:type="dxa"/>
              <w:end w:w="110" w:type="dxa"/>
            </w:tcMar>
            <w:vAlign w:val="center"/>
          </w:tcPr>
          <w:p>
            <w:pPr>
              <w:spacing w:after="0" w:line="250" w:lineRule="auto"/>
            </w:pPr>
            <w:r>
              <w:rPr>
                <w:rFonts w:ascii="Aptos" w:hAnsi="Aptos"/>
                <w:b w:val="0"/>
                <w:sz w:val="17"/>
              </w:rPr>
              <w:t>What is built and what is still owed?</w:t>
            </w:r>
          </w:p>
        </w:tc>
        <w:tc>
          <w:tcPr>
            <w:tcW w:type="dxa" w:w="5832"/>
            <w:tcMar>
              <w:top w:w="75" w:type="dxa"/>
              <w:start w:w="110" w:type="dxa"/>
              <w:bottom w:w="75" w:type="dxa"/>
              <w:end w:w="110" w:type="dxa"/>
            </w:tcMar>
            <w:vAlign w:val="center"/>
          </w:tcPr>
          <w:p>
            <w:pPr>
              <w:spacing w:after="0" w:line="250" w:lineRule="auto"/>
            </w:pPr>
            <w:r>
              <w:rPr>
                <w:rFonts w:ascii="Aptos" w:hAnsi="Aptos"/>
                <w:b w:val="0"/>
                <w:sz w:val="17"/>
              </w:rPr>
              <w:t>STATUS.md, KNOWN-GAPS.md and DEFERRED-WORK.md</w:t>
            </w:r>
          </w:p>
        </w:tc>
      </w:tr>
      <w:tr>
        <w:trPr>
          <w:cantSplit/>
        </w:trPr>
        <w:tc>
          <w:tcPr>
            <w:tcW w:type="dxa" w:w="3960"/>
            <w:tcMar>
              <w:top w:w="75" w:type="dxa"/>
              <w:start w:w="110" w:type="dxa"/>
              <w:bottom w:w="75" w:type="dxa"/>
              <w:end w:w="110" w:type="dxa"/>
            </w:tcMar>
            <w:vAlign w:val="center"/>
            <w:shd w:fill="F5F7F8"/>
          </w:tcPr>
          <w:p>
            <w:pPr>
              <w:spacing w:after="0" w:line="250" w:lineRule="auto"/>
            </w:pPr>
            <w:r>
              <w:rPr>
                <w:rFonts w:ascii="Aptos" w:hAnsi="Aptos"/>
                <w:b w:val="0"/>
                <w:sz w:val="17"/>
              </w:rPr>
              <w:t>What is the API request or response?</w:t>
            </w:r>
          </w:p>
        </w:tc>
        <w:tc>
          <w:tcPr>
            <w:tcW w:type="dxa" w:w="5832"/>
            <w:tcMar>
              <w:top w:w="75" w:type="dxa"/>
              <w:start w:w="110" w:type="dxa"/>
              <w:bottom w:w="75" w:type="dxa"/>
              <w:end w:w="110" w:type="dxa"/>
            </w:tcMar>
            <w:vAlign w:val="center"/>
            <w:shd w:fill="F5F7F8"/>
          </w:tcPr>
          <w:p>
            <w:pPr>
              <w:spacing w:after="0" w:line="250" w:lineRule="auto"/>
            </w:pPr>
            <w:r>
              <w:rPr>
                <w:rFonts w:ascii="Aptos" w:hAnsi="Aptos"/>
                <w:b w:val="0"/>
                <w:sz w:val="17"/>
              </w:rPr>
              <w:t>../foodbankserver/openapi.yaml and API.md</w:t>
            </w:r>
          </w:p>
        </w:tc>
      </w:tr>
      <w:tr>
        <w:trPr>
          <w:cantSplit/>
        </w:trPr>
        <w:tc>
          <w:tcPr>
            <w:tcW w:type="dxa" w:w="3960"/>
            <w:tcMar>
              <w:top w:w="75" w:type="dxa"/>
              <w:start w:w="110" w:type="dxa"/>
              <w:bottom w:w="75" w:type="dxa"/>
              <w:end w:w="110" w:type="dxa"/>
            </w:tcMar>
            <w:vAlign w:val="center"/>
          </w:tcPr>
          <w:p>
            <w:pPr>
              <w:spacing w:after="0" w:line="250" w:lineRule="auto"/>
            </w:pPr>
            <w:r>
              <w:rPr>
                <w:rFonts w:ascii="Aptos" w:hAnsi="Aptos"/>
                <w:b w:val="0"/>
                <w:sz w:val="17"/>
              </w:rPr>
              <w:t>Why is the client structured this way?</w:t>
            </w:r>
          </w:p>
        </w:tc>
        <w:tc>
          <w:tcPr>
            <w:tcW w:type="dxa" w:w="5832"/>
            <w:tcMar>
              <w:top w:w="75" w:type="dxa"/>
              <w:start w:w="110" w:type="dxa"/>
              <w:bottom w:w="75" w:type="dxa"/>
              <w:end w:w="110" w:type="dxa"/>
            </w:tcMar>
            <w:vAlign w:val="center"/>
          </w:tcPr>
          <w:p>
            <w:pPr>
              <w:spacing w:after="0" w:line="250" w:lineRule="auto"/>
            </w:pPr>
            <w:r>
              <w:rPr>
                <w:rFonts w:ascii="Aptos" w:hAnsi="Aptos"/>
                <w:b w:val="0"/>
                <w:sz w:val="17"/>
              </w:rPr>
              <w:t>CLAUDE.md and docs/architecture/</w:t>
            </w:r>
          </w:p>
        </w:tc>
      </w:tr>
      <w:tr>
        <w:trPr>
          <w:cantSplit/>
        </w:trPr>
        <w:tc>
          <w:tcPr>
            <w:tcW w:type="dxa" w:w="3960"/>
            <w:tcMar>
              <w:top w:w="75" w:type="dxa"/>
              <w:start w:w="110" w:type="dxa"/>
              <w:bottom w:w="75" w:type="dxa"/>
              <w:end w:w="110" w:type="dxa"/>
            </w:tcMar>
            <w:vAlign w:val="center"/>
            <w:shd w:fill="F5F7F8"/>
          </w:tcPr>
          <w:p>
            <w:pPr>
              <w:spacing w:after="0" w:line="250" w:lineRule="auto"/>
            </w:pPr>
            <w:r>
              <w:rPr>
                <w:rFonts w:ascii="Aptos" w:hAnsi="Aptos"/>
                <w:b w:val="0"/>
                <w:sz w:val="17"/>
              </w:rPr>
              <w:t>How do I run or deploy it?</w:t>
            </w:r>
          </w:p>
        </w:tc>
        <w:tc>
          <w:tcPr>
            <w:tcW w:type="dxa" w:w="5832"/>
            <w:tcMar>
              <w:top w:w="75" w:type="dxa"/>
              <w:start w:w="110" w:type="dxa"/>
              <w:bottom w:w="75" w:type="dxa"/>
              <w:end w:w="110" w:type="dxa"/>
            </w:tcMar>
            <w:vAlign w:val="center"/>
            <w:shd w:fill="F5F7F8"/>
          </w:tcPr>
          <w:p>
            <w:pPr>
              <w:spacing w:after="0" w:line="250" w:lineRule="auto"/>
            </w:pPr>
            <w:r>
              <w:rPr>
                <w:rFonts w:ascii="Aptos" w:hAnsi="Aptos"/>
                <w:b w:val="0"/>
                <w:sz w:val="17"/>
              </w:rPr>
              <w:t>README.md and docs/operations/deploy-verification.md</w:t>
            </w:r>
          </w:p>
        </w:tc>
      </w:tr>
    </w:tbl>
    <w:p>
      <w:pPr>
        <w:spacing w:after="40"/>
      </w:pPr>
    </w:p>
    <w:p>
      <w:r>
        <w:br w:type="page"/>
      </w:r>
    </w:p>
    <w:p>
      <w:pPr>
        <w:pStyle w:val="Heading1"/>
        <w:keepNext/>
        <w:spacing w:before="280" w:after="120"/>
      </w:pPr>
      <w:r>
        <w:rPr>
          <w:rFonts w:ascii="Aptos" w:hAnsi="Aptos"/>
          <w:b/>
          <w:color w:val="000000"/>
          <w:sz w:val="32"/>
        </w:rPr>
        <w:t>System shape and trust boundaries</w:t>
      </w:r>
    </w:p>
    <w:p>
      <w:pPr>
        <w:spacing w:after="160" w:before="0" w:line="269" w:lineRule="auto"/>
      </w:pPr>
      <w:r>
        <w:rPr>
          <w:rFonts w:ascii="Aptos" w:hAnsi="Aptos"/>
          <w:b/>
          <w:sz w:val="21"/>
        </w:rPr>
        <w:t xml:space="preserve">The browser, client Worker and server appear as one origin to the user. </w:t>
      </w:r>
      <w:r>
        <w:rPr>
          <w:rFonts w:ascii="Aptos" w:hAnsi="Aptos"/>
          <w:b w:val="0"/>
          <w:sz w:val="20"/>
        </w:rPr>
        <w:t>They must remain that way because the refresh cookie is SameSite Strict. Sending a browser directly from one workers.dev hostname to a different workers.dev API hostname would silently break session refresh.</w:t>
      </w:r>
    </w:p>
    <w:tbl>
      <w:tblPr>
        <w:tblW w:type="auto" w:w="0"/>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cantSplit/>
        </w:trPr>
        <w:tc>
          <w:tcPr>
            <w:tcW w:type="dxa" w:w="648"/>
            <w:tcMar>
              <w:top w:w="75" w:type="dxa"/>
              <w:start w:w="105" w:type="dxa"/>
              <w:bottom w:w="75" w:type="dxa"/>
              <w:end w:w="105" w:type="dxa"/>
            </w:tcMar>
            <w:vAlign w:val="center"/>
            <w:shd w:fill="17365D"/>
          </w:tcPr>
          <w:p>
            <w:pPr>
              <w:jc w:val="center"/>
            </w:pPr>
            <w:r>
              <w:rPr>
                <w:rFonts w:ascii="Aptos" w:hAnsi="Aptos"/>
                <w:b/>
                <w:color w:val="FFFFFF"/>
                <w:sz w:val="22"/>
              </w:rPr>
              <w:t>1</w:t>
            </w:r>
          </w:p>
        </w:tc>
        <w:tc>
          <w:tcPr>
            <w:tcW w:type="dxa" w:w="2448"/>
            <w:tcMar>
              <w:top w:w="75" w:type="dxa"/>
              <w:start w:w="105" w:type="dxa"/>
              <w:bottom w:w="75" w:type="dxa"/>
              <w:end w:w="105" w:type="dxa"/>
            </w:tcMar>
            <w:vAlign w:val="center"/>
          </w:tcPr>
          <w:p>
            <w:r>
              <w:rPr>
                <w:rFonts w:ascii="Aptos" w:hAnsi="Aptos"/>
                <w:b/>
                <w:sz w:val="18"/>
              </w:rPr>
              <w:t>Public browser</w:t>
            </w:r>
          </w:p>
        </w:tc>
        <w:tc>
          <w:tcPr>
            <w:tcW w:type="dxa" w:w="6696"/>
            <w:tcMar>
              <w:top w:w="75" w:type="dxa"/>
              <w:start w:w="105" w:type="dxa"/>
              <w:bottom w:w="75" w:type="dxa"/>
              <w:end w:w="105" w:type="dxa"/>
            </w:tcMar>
            <w:vAlign w:val="center"/>
          </w:tcPr>
          <w:p>
            <w:r>
              <w:rPr>
                <w:rFonts w:ascii="Aptos" w:hAnsi="Aptos"/>
                <w:b w:val="0"/>
                <w:sz w:val="18"/>
              </w:rPr>
              <w:t>The public referral form and signed-in SPA run here. It holds no durable referral draft or access token.</w:t>
            </w:r>
          </w:p>
        </w:tc>
      </w:tr>
      <w:tr>
        <w:trPr>
          <w:cantSplit/>
        </w:trPr>
        <w:tc>
          <w:tcPr>
            <w:tcW w:type="dxa" w:w="648"/>
            <w:tcMar>
              <w:top w:w="75" w:type="dxa"/>
              <w:start w:w="105" w:type="dxa"/>
              <w:bottom w:w="75" w:type="dxa"/>
              <w:end w:w="105" w:type="dxa"/>
            </w:tcMar>
            <w:vAlign w:val="center"/>
            <w:shd w:fill="17365D"/>
          </w:tcPr>
          <w:p>
            <w:pPr>
              <w:jc w:val="center"/>
            </w:pPr>
            <w:r>
              <w:rPr>
                <w:rFonts w:ascii="Aptos" w:hAnsi="Aptos"/>
                <w:b/>
                <w:color w:val="FFFFFF"/>
                <w:sz w:val="22"/>
              </w:rPr>
              <w:t>2</w:t>
            </w:r>
          </w:p>
        </w:tc>
        <w:tc>
          <w:tcPr>
            <w:tcW w:type="dxa" w:w="2448"/>
            <w:tcMar>
              <w:top w:w="75" w:type="dxa"/>
              <w:start w:w="105" w:type="dxa"/>
              <w:bottom w:w="75" w:type="dxa"/>
              <w:end w:w="105" w:type="dxa"/>
            </w:tcMar>
            <w:vAlign w:val="center"/>
          </w:tcPr>
          <w:p>
            <w:r>
              <w:rPr>
                <w:rFonts w:ascii="Aptos" w:hAnsi="Aptos"/>
                <w:b/>
                <w:sz w:val="18"/>
              </w:rPr>
              <w:t>Client Worker</w:t>
            </w:r>
          </w:p>
        </w:tc>
        <w:tc>
          <w:tcPr>
            <w:tcW w:type="dxa" w:w="6696"/>
            <w:tcMar>
              <w:top w:w="75" w:type="dxa"/>
              <w:start w:w="105" w:type="dxa"/>
              <w:bottom w:w="75" w:type="dxa"/>
              <w:end w:w="105" w:type="dxa"/>
            </w:tcMar>
            <w:vAlign w:val="center"/>
          </w:tcPr>
          <w:p>
            <w:r>
              <w:rPr>
                <w:rFonts w:ascii="Aptos" w:hAnsi="Aptos"/>
                <w:b w:val="0"/>
                <w:sz w:val="18"/>
              </w:rPr>
              <w:t>Static assets plus a small proxy at src/worker/index.ts. It forwards /api requests over a Cloudflare service binding so browser and API remain one origin.</w:t>
            </w:r>
          </w:p>
        </w:tc>
      </w:tr>
      <w:tr>
        <w:trPr>
          <w:cantSplit/>
        </w:trPr>
        <w:tc>
          <w:tcPr>
            <w:tcW w:type="dxa" w:w="648"/>
            <w:tcMar>
              <w:top w:w="75" w:type="dxa"/>
              <w:start w:w="105" w:type="dxa"/>
              <w:bottom w:w="75" w:type="dxa"/>
              <w:end w:w="105" w:type="dxa"/>
            </w:tcMar>
            <w:vAlign w:val="center"/>
            <w:shd w:fill="17365D"/>
          </w:tcPr>
          <w:p>
            <w:pPr>
              <w:jc w:val="center"/>
            </w:pPr>
            <w:r>
              <w:rPr>
                <w:rFonts w:ascii="Aptos" w:hAnsi="Aptos"/>
                <w:b/>
                <w:color w:val="FFFFFF"/>
                <w:sz w:val="22"/>
              </w:rPr>
              <w:t>3</w:t>
            </w:r>
          </w:p>
        </w:tc>
        <w:tc>
          <w:tcPr>
            <w:tcW w:type="dxa" w:w="2448"/>
            <w:tcMar>
              <w:top w:w="75" w:type="dxa"/>
              <w:start w:w="105" w:type="dxa"/>
              <w:bottom w:w="75" w:type="dxa"/>
              <w:end w:w="105" w:type="dxa"/>
            </w:tcMar>
            <w:vAlign w:val="center"/>
          </w:tcPr>
          <w:p>
            <w:r>
              <w:rPr>
                <w:rFonts w:ascii="Aptos" w:hAnsi="Aptos"/>
                <w:b/>
                <w:sz w:val="18"/>
              </w:rPr>
              <w:t>Server Worker and D1</w:t>
            </w:r>
          </w:p>
        </w:tc>
        <w:tc>
          <w:tcPr>
            <w:tcW w:type="dxa" w:w="6696"/>
            <w:tcMar>
              <w:top w:w="75" w:type="dxa"/>
              <w:start w:w="105" w:type="dxa"/>
              <w:bottom w:w="75" w:type="dxa"/>
              <w:end w:w="105" w:type="dxa"/>
            </w:tcMar>
            <w:vAlign w:val="center"/>
          </w:tcPr>
          <w:p>
            <w:r>
              <w:rPr>
                <w:rFonts w:ascii="Aptos" w:hAnsi="Aptos"/>
                <w:b w:val="0"/>
                <w:sz w:val="18"/>
              </w:rPr>
              <w:t>The paired foodbankserver owns business rules, authorisation, data storage, stock movements, releases and scheduled monitoring.</w:t>
            </w:r>
          </w:p>
        </w:tc>
      </w:tr>
      <w:tr>
        <w:trPr>
          <w:cantSplit/>
        </w:trPr>
        <w:tc>
          <w:tcPr>
            <w:tcW w:type="dxa" w:w="648"/>
            <w:tcMar>
              <w:top w:w="75" w:type="dxa"/>
              <w:start w:w="105" w:type="dxa"/>
              <w:bottom w:w="75" w:type="dxa"/>
              <w:end w:w="105" w:type="dxa"/>
            </w:tcMar>
            <w:vAlign w:val="center"/>
            <w:shd w:fill="17365D"/>
          </w:tcPr>
          <w:p>
            <w:pPr>
              <w:jc w:val="center"/>
            </w:pPr>
            <w:r>
              <w:rPr>
                <w:rFonts w:ascii="Aptos" w:hAnsi="Aptos"/>
                <w:b/>
                <w:color w:val="FFFFFF"/>
                <w:sz w:val="22"/>
              </w:rPr>
              <w:t>4</w:t>
            </w:r>
          </w:p>
        </w:tc>
        <w:tc>
          <w:tcPr>
            <w:tcW w:type="dxa" w:w="2448"/>
            <w:tcMar>
              <w:top w:w="75" w:type="dxa"/>
              <w:start w:w="105" w:type="dxa"/>
              <w:bottom w:w="75" w:type="dxa"/>
              <w:end w:w="105" w:type="dxa"/>
            </w:tcMar>
            <w:vAlign w:val="center"/>
          </w:tcPr>
          <w:p>
            <w:r>
              <w:rPr>
                <w:rFonts w:ascii="Aptos" w:hAnsi="Aptos"/>
                <w:b/>
                <w:sz w:val="18"/>
              </w:rPr>
              <w:t>Controlled integrations</w:t>
            </w:r>
          </w:p>
        </w:tc>
        <w:tc>
          <w:tcPr>
            <w:tcW w:type="dxa" w:w="6696"/>
            <w:tcMar>
              <w:top w:w="75" w:type="dxa"/>
              <w:start w:w="105" w:type="dxa"/>
              <w:bottom w:w="75" w:type="dxa"/>
              <w:end w:w="105" w:type="dxa"/>
            </w:tcMar>
            <w:vAlign w:val="center"/>
          </w:tcPr>
          <w:p>
            <w:r>
              <w:rPr>
                <w:rFonts w:ascii="Aptos" w:hAnsi="Aptos"/>
                <w:b w:val="0"/>
                <w:sz w:val="18"/>
              </w:rPr>
              <w:t>Google Sheets authoring and export, Google sign-in, Turnstile and SMS. Each is configured per deployment and must not become an uncontrolled data route.</w:t>
            </w:r>
          </w:p>
        </w:tc>
      </w:tr>
    </w:tbl>
    <w:p>
      <w:pPr>
        <w:pStyle w:val="Heading1"/>
        <w:keepNext/>
        <w:spacing w:before="280" w:after="120"/>
      </w:pPr>
      <w:r>
        <w:rPr>
          <w:rFonts w:ascii="Aptos" w:hAnsi="Aptos"/>
          <w:b/>
          <w:color w:val="000000"/>
          <w:sz w:val="32"/>
        </w:rPr>
        <w:t>Client architecture</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2376"/>
            <w:shd w:fill="17365D"/>
            <w:tcMar>
              <w:top w:w="75" w:type="dxa"/>
              <w:start w:w="110" w:type="dxa"/>
              <w:bottom w:w="75" w:type="dxa"/>
              <w:end w:w="110" w:type="dxa"/>
            </w:tcMar>
            <w:vAlign w:val="center"/>
          </w:tcPr>
          <w:p>
            <w:r>
              <w:rPr>
                <w:rFonts w:ascii="Aptos" w:hAnsi="Aptos"/>
                <w:b/>
                <w:color w:val="FFFFFF"/>
                <w:sz w:val="18"/>
              </w:rPr>
              <w:t>Layer</w:t>
            </w:r>
          </w:p>
        </w:tc>
        <w:tc>
          <w:tcPr>
            <w:tcW w:type="dxa" w:w="7416"/>
            <w:shd w:fill="17365D"/>
            <w:tcMar>
              <w:top w:w="75" w:type="dxa"/>
              <w:start w:w="110" w:type="dxa"/>
              <w:bottom w:w="75" w:type="dxa"/>
              <w:end w:w="110" w:type="dxa"/>
            </w:tcMar>
            <w:vAlign w:val="center"/>
          </w:tcPr>
          <w:p>
            <w:r>
              <w:rPr>
                <w:rFonts w:ascii="Aptos" w:hAnsi="Aptos"/>
                <w:b/>
                <w:color w:val="FFFFFF"/>
                <w:sz w:val="18"/>
              </w:rPr>
              <w:t>Responsibility and maintenance rule</w:t>
            </w:r>
          </w:p>
        </w:tc>
      </w:tr>
      <w:tr>
        <w:trPr>
          <w:cantSplit/>
        </w:trPr>
        <w:tc>
          <w:tcPr>
            <w:tcW w:type="dxa" w:w="2376"/>
            <w:tcMar>
              <w:top w:w="75" w:type="dxa"/>
              <w:start w:w="110" w:type="dxa"/>
              <w:bottom w:w="75" w:type="dxa"/>
              <w:end w:w="110" w:type="dxa"/>
            </w:tcMar>
            <w:vAlign w:val="center"/>
          </w:tcPr>
          <w:p>
            <w:pPr>
              <w:spacing w:after="0" w:line="250" w:lineRule="auto"/>
            </w:pPr>
            <w:r>
              <w:rPr>
                <w:rFonts w:ascii="Aptos" w:hAnsi="Aptos"/>
                <w:b w:val="0"/>
                <w:sz w:val="17"/>
              </w:rPr>
              <w:t>src/api</w:t>
            </w:r>
          </w:p>
        </w:tc>
        <w:tc>
          <w:tcPr>
            <w:tcW w:type="dxa" w:w="7416"/>
            <w:tcMar>
              <w:top w:w="75" w:type="dxa"/>
              <w:start w:w="110" w:type="dxa"/>
              <w:bottom w:w="75" w:type="dxa"/>
              <w:end w:w="110" w:type="dxa"/>
            </w:tcMar>
            <w:vAlign w:val="center"/>
          </w:tcPr>
          <w:p>
            <w:pPr>
              <w:spacing w:after="0" w:line="250" w:lineRule="auto"/>
            </w:pPr>
            <w:r>
              <w:rPr>
                <w:rFonts w:ascii="Aptos" w:hAnsi="Aptos"/>
                <w:b w:val="0"/>
                <w:sz w:val="17"/>
              </w:rPr>
              <w:t>Generated schema, openapi-fetch clients, authentication interception, retry policy and query client. schema.d.ts is generated; never hand-edit it.</w:t>
            </w:r>
          </w:p>
        </w:tc>
      </w:tr>
      <w:tr>
        <w:trPr>
          <w:cantSplit/>
        </w:trPr>
        <w:tc>
          <w:tcPr>
            <w:tcW w:type="dxa" w:w="2376"/>
            <w:tcMar>
              <w:top w:w="75" w:type="dxa"/>
              <w:start w:w="110" w:type="dxa"/>
              <w:bottom w:w="75" w:type="dxa"/>
              <w:end w:w="110" w:type="dxa"/>
            </w:tcMar>
            <w:vAlign w:val="center"/>
            <w:shd w:fill="F5F7F8"/>
          </w:tcPr>
          <w:p>
            <w:pPr>
              <w:spacing w:after="0" w:line="250" w:lineRule="auto"/>
            </w:pPr>
            <w:r>
              <w:rPr>
                <w:rFonts w:ascii="Aptos" w:hAnsi="Aptos"/>
                <w:b w:val="0"/>
                <w:sz w:val="17"/>
              </w:rPr>
              <w:t>src/auth</w:t>
            </w:r>
          </w:p>
        </w:tc>
        <w:tc>
          <w:tcPr>
            <w:tcW w:type="dxa" w:w="7416"/>
            <w:tcMar>
              <w:top w:w="75" w:type="dxa"/>
              <w:start w:w="110" w:type="dxa"/>
              <w:bottom w:w="75" w:type="dxa"/>
              <w:end w:w="110" w:type="dxa"/>
            </w:tcMar>
            <w:vAlign w:val="center"/>
            <w:shd w:fill="F5F7F8"/>
          </w:tcPr>
          <w:p>
            <w:pPr>
              <w:spacing w:after="0" w:line="250" w:lineRule="auto"/>
            </w:pPr>
            <w:r>
              <w:rPr>
                <w:rFonts w:ascii="Aptos" w:hAnsi="Aptos"/>
                <w:b w:val="0"/>
                <w:sz w:val="17"/>
              </w:rPr>
              <w:t>Session start/restore/end and role-driven navigation. The server, not a client route guard, is the real access control.</w:t>
            </w:r>
          </w:p>
        </w:tc>
      </w:tr>
      <w:tr>
        <w:trPr>
          <w:cantSplit/>
        </w:trPr>
        <w:tc>
          <w:tcPr>
            <w:tcW w:type="dxa" w:w="2376"/>
            <w:tcMar>
              <w:top w:w="75" w:type="dxa"/>
              <w:start w:w="110" w:type="dxa"/>
              <w:bottom w:w="75" w:type="dxa"/>
              <w:end w:w="110" w:type="dxa"/>
            </w:tcMar>
            <w:vAlign w:val="center"/>
          </w:tcPr>
          <w:p>
            <w:pPr>
              <w:spacing w:after="0" w:line="250" w:lineRule="auto"/>
            </w:pPr>
            <w:r>
              <w:rPr>
                <w:rFonts w:ascii="Aptos" w:hAnsi="Aptos"/>
                <w:b w:val="0"/>
                <w:sz w:val="17"/>
              </w:rPr>
              <w:t>src/features</w:t>
            </w:r>
          </w:p>
        </w:tc>
        <w:tc>
          <w:tcPr>
            <w:tcW w:type="dxa" w:w="7416"/>
            <w:tcMar>
              <w:top w:w="75" w:type="dxa"/>
              <w:start w:w="110" w:type="dxa"/>
              <w:bottom w:w="75" w:type="dxa"/>
              <w:end w:w="110" w:type="dxa"/>
            </w:tcMar>
            <w:vAlign w:val="center"/>
          </w:tcPr>
          <w:p>
            <w:pPr>
              <w:spacing w:after="0" w:line="250" w:lineRule="auto"/>
            </w:pPr>
            <w:r>
              <w:rPr>
                <w:rFonts w:ascii="Aptos" w:hAnsi="Aptos"/>
                <w:b w:val="0"/>
                <w:sz w:val="17"/>
              </w:rPr>
              <w:t>One feature per domain area. It owns query keys, hooks, pure logic, components and tests. Components call hooks from queries.ts; they do not call fetch.</w:t>
            </w:r>
          </w:p>
        </w:tc>
      </w:tr>
      <w:tr>
        <w:trPr>
          <w:cantSplit/>
        </w:trPr>
        <w:tc>
          <w:tcPr>
            <w:tcW w:type="dxa" w:w="2376"/>
            <w:tcMar>
              <w:top w:w="75" w:type="dxa"/>
              <w:start w:w="110" w:type="dxa"/>
              <w:bottom w:w="75" w:type="dxa"/>
              <w:end w:w="110" w:type="dxa"/>
            </w:tcMar>
            <w:vAlign w:val="center"/>
            <w:shd w:fill="F5F7F8"/>
          </w:tcPr>
          <w:p>
            <w:pPr>
              <w:spacing w:after="0" w:line="250" w:lineRule="auto"/>
            </w:pPr>
            <w:r>
              <w:rPr>
                <w:rFonts w:ascii="Aptos" w:hAnsi="Aptos"/>
                <w:b w:val="0"/>
                <w:sz w:val="17"/>
              </w:rPr>
              <w:t>src/components and src/lib</w:t>
            </w:r>
          </w:p>
        </w:tc>
        <w:tc>
          <w:tcPr>
            <w:tcW w:type="dxa" w:w="7416"/>
            <w:tcMar>
              <w:top w:w="75" w:type="dxa"/>
              <w:start w:w="110" w:type="dxa"/>
              <w:bottom w:w="75" w:type="dxa"/>
              <w:end w:w="110" w:type="dxa"/>
            </w:tcMar>
            <w:vAlign w:val="center"/>
            <w:shd w:fill="F5F7F8"/>
          </w:tcPr>
          <w:p>
            <w:pPr>
              <w:spacing w:after="0" w:line="250" w:lineRule="auto"/>
            </w:pPr>
            <w:r>
              <w:rPr>
                <w:rFonts w:ascii="Aptos" w:hAnsi="Aptos"/>
                <w:b w:val="0"/>
                <w:sz w:val="17"/>
              </w:rPr>
              <w:t>Shared presentation only and pure helpers. Do not pull feature-specific data dependencies outwards.</w:t>
            </w:r>
          </w:p>
        </w:tc>
      </w:tr>
      <w:tr>
        <w:trPr>
          <w:cantSplit/>
        </w:trPr>
        <w:tc>
          <w:tcPr>
            <w:tcW w:type="dxa" w:w="2376"/>
            <w:tcMar>
              <w:top w:w="75" w:type="dxa"/>
              <w:start w:w="110" w:type="dxa"/>
              <w:bottom w:w="75" w:type="dxa"/>
              <w:end w:w="110" w:type="dxa"/>
            </w:tcMar>
            <w:vAlign w:val="center"/>
          </w:tcPr>
          <w:p>
            <w:pPr>
              <w:spacing w:after="0" w:line="250" w:lineRule="auto"/>
            </w:pPr>
            <w:r>
              <w:rPr>
                <w:rFonts w:ascii="Aptos" w:hAnsi="Aptos"/>
                <w:b w:val="0"/>
                <w:sz w:val="17"/>
              </w:rPr>
              <w:t>src/worker</w:t>
            </w:r>
          </w:p>
        </w:tc>
        <w:tc>
          <w:tcPr>
            <w:tcW w:type="dxa" w:w="7416"/>
            <w:tcMar>
              <w:top w:w="75" w:type="dxa"/>
              <w:start w:w="110" w:type="dxa"/>
              <w:bottom w:w="75" w:type="dxa"/>
              <w:end w:w="110" w:type="dxa"/>
            </w:tcMar>
            <w:vAlign w:val="center"/>
          </w:tcPr>
          <w:p>
            <w:pPr>
              <w:spacing w:after="0" w:line="250" w:lineRule="auto"/>
            </w:pPr>
            <w:r>
              <w:rPr>
                <w:rFonts w:ascii="Aptos" w:hAnsi="Aptos"/>
                <w:b w:val="0"/>
                <w:sz w:val="17"/>
              </w:rPr>
              <w:t>The proxy Worker compiles in a separate Workers TypeScript project. Do not mix Worker and browser globals or share source between them.</w:t>
            </w:r>
          </w:p>
        </w:tc>
      </w:tr>
    </w:tbl>
    <w:p>
      <w:pPr>
        <w:spacing w:after="40"/>
      </w:pPr>
    </w:p>
    <w:p>
      <w:r>
        <w:br w:type="page"/>
      </w:r>
    </w:p>
    <w:p>
      <w:pPr>
        <w:pStyle w:val="Heading1"/>
        <w:keepNext/>
        <w:spacing w:before="280" w:after="120"/>
      </w:pPr>
      <w:r>
        <w:rPr>
          <w:rFonts w:ascii="Aptos" w:hAnsi="Aptos"/>
          <w:b/>
          <w:color w:val="000000"/>
          <w:sz w:val="32"/>
        </w:rPr>
        <w:t>Authentication and state</w:t>
      </w:r>
    </w:p>
    <w:p>
      <w:pPr>
        <w:pStyle w:val="ListBullet"/>
        <w:spacing w:after="60" w:line="259" w:lineRule="auto"/>
      </w:pPr>
      <w:r>
        <w:rPr>
          <w:rFonts w:ascii="Aptos" w:hAnsi="Aptos"/>
          <w:b w:val="0"/>
          <w:sz w:val="20"/>
        </w:rPr>
        <w:t>The access token is memory-only. Session restoration uses POST /auth/refresh; refresh is single-flight and serialised across browser tabs.</w:t>
      </w:r>
    </w:p>
    <w:p>
      <w:pPr>
        <w:pStyle w:val="ListBullet"/>
        <w:spacing w:after="60" w:line="259" w:lineRule="auto"/>
      </w:pPr>
      <w:r>
        <w:rPr>
          <w:rFonts w:ascii="Aptos" w:hAnsi="Aptos"/>
          <w:b w:val="0"/>
          <w:sz w:val="20"/>
        </w:rPr>
        <w:t>Menus are a convenience layer. A role never proves permission; server responses and server checks do.</w:t>
      </w:r>
    </w:p>
    <w:p>
      <w:pPr>
        <w:pStyle w:val="ListBullet"/>
        <w:spacing w:after="60" w:line="259" w:lineRule="auto"/>
      </w:pPr>
      <w:r>
        <w:rPr>
          <w:rFonts w:ascii="Aptos" w:hAnsi="Aptos"/>
          <w:b w:val="0"/>
          <w:sz w:val="20"/>
        </w:rPr>
        <w:t>Use Europe London for display. Sort and filter with startsAtUtc, but never send startsAtUtc as a user-entered value.</w:t>
      </w:r>
    </w:p>
    <w:p>
      <w:pPr>
        <w:pStyle w:val="ListBullet"/>
        <w:spacing w:after="60" w:line="259" w:lineRule="auto"/>
      </w:pPr>
      <w:r>
        <w:rPr>
          <w:rFonts w:ascii="Aptos" w:hAnsi="Aptos"/>
          <w:b w:val="0"/>
          <w:sz w:val="20"/>
        </w:rPr>
        <w:t>Show the server message for 409 and 422 responses. Do not retry a 4xx.</w:t>
      </w:r>
    </w:p>
    <w:p>
      <w:pPr>
        <w:pStyle w:val="Heading1"/>
        <w:keepNext/>
        <w:spacing w:before="280" w:after="120"/>
      </w:pPr>
      <w:r>
        <w:rPr>
          <w:rFonts w:ascii="Aptos" w:hAnsi="Aptos"/>
          <w:b/>
          <w:color w:val="000000"/>
          <w:sz w:val="32"/>
        </w:rPr>
        <w:t>The operational data model</w:t>
      </w:r>
    </w:p>
    <w:p>
      <w:pPr>
        <w:spacing w:after="160" w:before="0" w:line="269" w:lineRule="auto"/>
      </w:pPr>
      <w:r>
        <w:rPr>
          <w:rFonts w:ascii="Aptos" w:hAnsi="Aptos"/>
          <w:b/>
          <w:sz w:val="21"/>
        </w:rPr>
        <w:t xml:space="preserve">Three distinctions prevent most damaging misunderstandings. </w:t>
      </w:r>
      <w:r>
        <w:rPr>
          <w:rFonts w:ascii="Aptos" w:hAnsi="Aptos"/>
          <w:b w:val="0"/>
          <w:sz w:val="20"/>
        </w:rPr>
        <w:t>The referral record, the parcel and the session each have their own lifecycle. Do not use one as a shortcut for another.</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1944"/>
            <w:shd w:fill="17365D"/>
            <w:tcMar>
              <w:top w:w="75" w:type="dxa"/>
              <w:start w:w="110" w:type="dxa"/>
              <w:bottom w:w="75" w:type="dxa"/>
              <w:end w:w="110" w:type="dxa"/>
            </w:tcMar>
            <w:vAlign w:val="center"/>
          </w:tcPr>
          <w:p>
            <w:r>
              <w:rPr>
                <w:rFonts w:ascii="Aptos" w:hAnsi="Aptos"/>
                <w:b/>
                <w:color w:val="FFFFFF"/>
                <w:sz w:val="18"/>
              </w:rPr>
              <w:t>Thing</w:t>
            </w:r>
          </w:p>
        </w:tc>
        <w:tc>
          <w:tcPr>
            <w:tcW w:type="dxa" w:w="3816"/>
            <w:shd w:fill="17365D"/>
            <w:tcMar>
              <w:top w:w="75" w:type="dxa"/>
              <w:start w:w="110" w:type="dxa"/>
              <w:bottom w:w="75" w:type="dxa"/>
              <w:end w:w="110" w:type="dxa"/>
            </w:tcMar>
            <w:vAlign w:val="center"/>
          </w:tcPr>
          <w:p>
            <w:r>
              <w:rPr>
                <w:rFonts w:ascii="Aptos" w:hAnsi="Aptos"/>
                <w:b/>
                <w:color w:val="FFFFFF"/>
                <w:sz w:val="18"/>
              </w:rPr>
              <w:t>What it records</w:t>
            </w:r>
          </w:p>
        </w:tc>
        <w:tc>
          <w:tcPr>
            <w:tcW w:type="dxa" w:w="4032"/>
            <w:shd w:fill="17365D"/>
            <w:tcMar>
              <w:top w:w="75" w:type="dxa"/>
              <w:start w:w="110" w:type="dxa"/>
              <w:bottom w:w="75" w:type="dxa"/>
              <w:end w:w="110" w:type="dxa"/>
            </w:tcMar>
            <w:vAlign w:val="center"/>
          </w:tcPr>
          <w:p>
            <w:r>
              <w:rPr>
                <w:rFonts w:ascii="Aptos" w:hAnsi="Aptos"/>
                <w:b/>
                <w:color w:val="FFFFFF"/>
                <w:sz w:val="18"/>
              </w:rPr>
              <w:t>Important invariant</w:t>
            </w:r>
          </w:p>
        </w:tc>
      </w:tr>
      <w:tr>
        <w:trPr>
          <w:cantSplit/>
        </w:trPr>
        <w:tc>
          <w:tcPr>
            <w:tcW w:type="dxa" w:w="1944"/>
            <w:tcMar>
              <w:top w:w="75" w:type="dxa"/>
              <w:start w:w="110" w:type="dxa"/>
              <w:bottom w:w="75" w:type="dxa"/>
              <w:end w:w="110" w:type="dxa"/>
            </w:tcMar>
            <w:vAlign w:val="center"/>
          </w:tcPr>
          <w:p>
            <w:pPr>
              <w:spacing w:after="0" w:line="250" w:lineRule="auto"/>
            </w:pPr>
            <w:r>
              <w:rPr>
                <w:rFonts w:ascii="Aptos" w:hAnsi="Aptos"/>
                <w:b w:val="0"/>
                <w:sz w:val="17"/>
              </w:rPr>
              <w:t>Referral</w:t>
            </w:r>
          </w:p>
        </w:tc>
        <w:tc>
          <w:tcPr>
            <w:tcW w:type="dxa" w:w="3816"/>
            <w:tcMar>
              <w:top w:w="75" w:type="dxa"/>
              <w:start w:w="110" w:type="dxa"/>
              <w:bottom w:w="75" w:type="dxa"/>
              <w:end w:w="110" w:type="dxa"/>
            </w:tcMar>
            <w:vAlign w:val="center"/>
          </w:tcPr>
          <w:p>
            <w:pPr>
              <w:spacing w:after="0" w:line="250" w:lineRule="auto"/>
            </w:pPr>
            <w:r>
              <w:rPr>
                <w:rFonts w:ascii="Aptos" w:hAnsi="Aptos"/>
                <w:b w:val="0"/>
                <w:sz w:val="17"/>
              </w:rPr>
              <w:t>Who was referred, their form version, status, session and private details.</w:t>
            </w:r>
          </w:p>
        </w:tc>
        <w:tc>
          <w:tcPr>
            <w:tcW w:type="dxa" w:w="4032"/>
            <w:tcMar>
              <w:top w:w="75" w:type="dxa"/>
              <w:start w:w="110" w:type="dxa"/>
              <w:bottom w:w="75" w:type="dxa"/>
              <w:end w:w="110" w:type="dxa"/>
            </w:tcMar>
            <w:vAlign w:val="center"/>
          </w:tcPr>
          <w:p>
            <w:pPr>
              <w:spacing w:after="0" w:line="250" w:lineRule="auto"/>
            </w:pPr>
            <w:r>
              <w:rPr>
                <w:rFonts w:ascii="Aptos" w:hAnsi="Aptos"/>
                <w:b w:val="0"/>
                <w:sz w:val="17"/>
              </w:rPr>
              <w:t>Administrative status is separate from day-of-session outcome.</w:t>
            </w:r>
          </w:p>
        </w:tc>
      </w:tr>
      <w:tr>
        <w:trPr>
          <w:cantSplit/>
        </w:trPr>
        <w:tc>
          <w:tcPr>
            <w:tcW w:type="dxa" w:w="1944"/>
            <w:tcMar>
              <w:top w:w="75" w:type="dxa"/>
              <w:start w:w="110" w:type="dxa"/>
              <w:bottom w:w="75" w:type="dxa"/>
              <w:end w:w="110" w:type="dxa"/>
            </w:tcMar>
            <w:vAlign w:val="center"/>
            <w:shd w:fill="F5F7F8"/>
          </w:tcPr>
          <w:p>
            <w:pPr>
              <w:spacing w:after="0" w:line="250" w:lineRule="auto"/>
            </w:pPr>
            <w:r>
              <w:rPr>
                <w:rFonts w:ascii="Aptos" w:hAnsi="Aptos"/>
                <w:b w:val="0"/>
                <w:sz w:val="17"/>
              </w:rPr>
              <w:t>Parcel or pick list</w:t>
            </w:r>
          </w:p>
        </w:tc>
        <w:tc>
          <w:tcPr>
            <w:tcW w:type="dxa" w:w="3816"/>
            <w:tcMar>
              <w:top w:w="75" w:type="dxa"/>
              <w:start w:w="110" w:type="dxa"/>
              <w:bottom w:w="75" w:type="dxa"/>
              <w:end w:w="110" w:type="dxa"/>
            </w:tcMar>
            <w:vAlign w:val="center"/>
            <w:shd w:fill="F5F7F8"/>
          </w:tcPr>
          <w:p>
            <w:pPr>
              <w:spacing w:after="0" w:line="250" w:lineRule="auto"/>
            </w:pPr>
            <w:r>
              <w:rPr>
                <w:rFonts w:ascii="Aptos" w:hAnsi="Aptos"/>
                <w:b w:val="0"/>
                <w:sz w:val="17"/>
              </w:rPr>
              <w:t>The snapshot of stock items prepared for a household on a session.</w:t>
            </w:r>
          </w:p>
        </w:tc>
        <w:tc>
          <w:tcPr>
            <w:tcW w:type="dxa" w:w="4032"/>
            <w:tcMar>
              <w:top w:w="75" w:type="dxa"/>
              <w:start w:w="110" w:type="dxa"/>
              <w:bottom w:w="75" w:type="dxa"/>
              <w:end w:w="110" w:type="dxa"/>
            </w:tcMar>
            <w:vAlign w:val="center"/>
            <w:shd w:fill="F5F7F8"/>
          </w:tcPr>
          <w:p>
            <w:pPr>
              <w:spacing w:after="0" w:line="250" w:lineRule="auto"/>
            </w:pPr>
            <w:r>
              <w:rPr>
                <w:rFonts w:ascii="Aptos" w:hAnsi="Aptos"/>
                <w:b w:val="0"/>
                <w:sz w:val="17"/>
              </w:rPr>
              <w:t>Opening or reconciling a session adds parcels for newly live referrals; it never rewrites an existing parcel.</w:t>
            </w:r>
          </w:p>
        </w:tc>
      </w:tr>
      <w:tr>
        <w:trPr>
          <w:cantSplit/>
        </w:trPr>
        <w:tc>
          <w:tcPr>
            <w:tcW w:type="dxa" w:w="1944"/>
            <w:tcMar>
              <w:top w:w="75" w:type="dxa"/>
              <w:start w:w="110" w:type="dxa"/>
              <w:bottom w:w="75" w:type="dxa"/>
              <w:end w:w="110" w:type="dxa"/>
            </w:tcMar>
            <w:vAlign w:val="center"/>
          </w:tcPr>
          <w:p>
            <w:pPr>
              <w:spacing w:after="0" w:line="250" w:lineRule="auto"/>
            </w:pPr>
            <w:r>
              <w:rPr>
                <w:rFonts w:ascii="Aptos" w:hAnsi="Aptos"/>
                <w:b w:val="0"/>
                <w:sz w:val="17"/>
              </w:rPr>
              <w:t>Session</w:t>
            </w:r>
          </w:p>
        </w:tc>
        <w:tc>
          <w:tcPr>
            <w:tcW w:type="dxa" w:w="3816"/>
            <w:tcMar>
              <w:top w:w="75" w:type="dxa"/>
              <w:start w:w="110" w:type="dxa"/>
              <w:bottom w:w="75" w:type="dxa"/>
              <w:end w:w="110" w:type="dxa"/>
            </w:tcMar>
            <w:vAlign w:val="center"/>
          </w:tcPr>
          <w:p>
            <w:pPr>
              <w:spacing w:after="0" w:line="250" w:lineRule="auto"/>
            </w:pPr>
            <w:r>
              <w:rPr>
                <w:rFonts w:ascii="Aptos" w:hAnsi="Aptos"/>
                <w:b w:val="0"/>
                <w:sz w:val="17"/>
              </w:rPr>
              <w:t>The operational event, its households, attendance outcomes and final confirmation.</w:t>
            </w:r>
          </w:p>
        </w:tc>
        <w:tc>
          <w:tcPr>
            <w:tcW w:type="dxa" w:w="4032"/>
            <w:tcMar>
              <w:top w:w="75" w:type="dxa"/>
              <w:start w:w="110" w:type="dxa"/>
              <w:bottom w:w="75" w:type="dxa"/>
              <w:end w:w="110" w:type="dxa"/>
            </w:tcMar>
            <w:vAlign w:val="center"/>
          </w:tcPr>
          <w:p>
            <w:pPr>
              <w:spacing w:after="0" w:line="250" w:lineRule="auto"/>
            </w:pPr>
            <w:r>
              <w:rPr>
                <w:rFonts w:ascii="Aptos" w:hAnsi="Aptos"/>
                <w:b w:val="0"/>
                <w:sz w:val="17"/>
              </w:rPr>
              <w:t>Confirmation locks outcomes and pick lists. Only attendance or delivery moves stock.</w:t>
            </w:r>
          </w:p>
        </w:tc>
      </w:tr>
    </w:tbl>
    <w:p>
      <w:pPr>
        <w:spacing w:after="40"/>
      </w:pPr>
    </w:p>
    <w:p>
      <w:r>
        <w:br w:type="page"/>
      </w:r>
    </w:p>
    <w:p>
      <w:pPr>
        <w:pStyle w:val="Heading1"/>
        <w:keepNext/>
        <w:spacing w:before="280" w:after="120"/>
      </w:pPr>
      <w:r>
        <w:rPr>
          <w:rFonts w:ascii="Aptos" w:hAnsi="Aptos"/>
          <w:b/>
          <w:color w:val="000000"/>
          <w:sz w:val="32"/>
        </w:rPr>
        <w:t>Referral and session lifecycle</w:t>
      </w:r>
    </w:p>
    <w:tbl>
      <w:tblPr>
        <w:tblW w:type="auto" w:w="0"/>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cantSplit/>
        </w:trPr>
        <w:tc>
          <w:tcPr>
            <w:tcW w:type="dxa" w:w="648"/>
            <w:tcMar>
              <w:top w:w="75" w:type="dxa"/>
              <w:start w:w="105" w:type="dxa"/>
              <w:bottom w:w="75" w:type="dxa"/>
              <w:end w:w="105" w:type="dxa"/>
            </w:tcMar>
            <w:vAlign w:val="center"/>
            <w:shd w:fill="17365D"/>
          </w:tcPr>
          <w:p>
            <w:pPr>
              <w:jc w:val="center"/>
            </w:pPr>
            <w:r>
              <w:rPr>
                <w:rFonts w:ascii="Aptos" w:hAnsi="Aptos"/>
                <w:b/>
                <w:color w:val="FFFFFF"/>
                <w:sz w:val="22"/>
              </w:rPr>
              <w:t>1</w:t>
            </w:r>
          </w:p>
        </w:tc>
        <w:tc>
          <w:tcPr>
            <w:tcW w:type="dxa" w:w="2448"/>
            <w:tcMar>
              <w:top w:w="75" w:type="dxa"/>
              <w:start w:w="105" w:type="dxa"/>
              <w:bottom w:w="75" w:type="dxa"/>
              <w:end w:w="105" w:type="dxa"/>
            </w:tcMar>
            <w:vAlign w:val="center"/>
          </w:tcPr>
          <w:p>
            <w:r>
              <w:rPr>
                <w:rFonts w:ascii="Aptos" w:hAnsi="Aptos"/>
                <w:b/>
                <w:sz w:val="18"/>
              </w:rPr>
              <w:t>Referral submitted</w:t>
            </w:r>
          </w:p>
        </w:tc>
        <w:tc>
          <w:tcPr>
            <w:tcW w:type="dxa" w:w="6696"/>
            <w:tcMar>
              <w:top w:w="75" w:type="dxa"/>
              <w:start w:w="105" w:type="dxa"/>
              <w:bottom w:w="75" w:type="dxa"/>
              <w:end w:w="105" w:type="dxa"/>
            </w:tcMar>
            <w:vAlign w:val="center"/>
          </w:tcPr>
          <w:p>
            <w:r>
              <w:rPr>
                <w:rFonts w:ascii="Aptos" w:hAnsi="Aptos"/>
                <w:b w:val="0"/>
                <w:sz w:val="18"/>
              </w:rPr>
              <w:t>An unrecognised referrer needs approval. A recognised referrer is still Pending review. Both can hold a session place while operationally live.</w:t>
            </w:r>
          </w:p>
        </w:tc>
      </w:tr>
      <w:tr>
        <w:trPr>
          <w:cantSplit/>
        </w:trPr>
        <w:tc>
          <w:tcPr>
            <w:tcW w:type="dxa" w:w="648"/>
            <w:tcMar>
              <w:top w:w="75" w:type="dxa"/>
              <w:start w:w="105" w:type="dxa"/>
              <w:bottom w:w="75" w:type="dxa"/>
              <w:end w:w="105" w:type="dxa"/>
            </w:tcMar>
            <w:vAlign w:val="center"/>
            <w:shd w:fill="17365D"/>
          </w:tcPr>
          <w:p>
            <w:pPr>
              <w:jc w:val="center"/>
            </w:pPr>
            <w:r>
              <w:rPr>
                <w:rFonts w:ascii="Aptos" w:hAnsi="Aptos"/>
                <w:b/>
                <w:color w:val="FFFFFF"/>
                <w:sz w:val="22"/>
              </w:rPr>
              <w:t>2</w:t>
            </w:r>
          </w:p>
        </w:tc>
        <w:tc>
          <w:tcPr>
            <w:tcW w:type="dxa" w:w="2448"/>
            <w:tcMar>
              <w:top w:w="75" w:type="dxa"/>
              <w:start w:w="105" w:type="dxa"/>
              <w:bottom w:w="75" w:type="dxa"/>
              <w:end w:w="105" w:type="dxa"/>
            </w:tcMar>
            <w:vAlign w:val="center"/>
          </w:tcPr>
          <w:p>
            <w:r>
              <w:rPr>
                <w:rFonts w:ascii="Aptos" w:hAnsi="Aptos"/>
                <w:b/>
                <w:sz w:val="18"/>
              </w:rPr>
              <w:t>Administrative action</w:t>
            </w:r>
          </w:p>
        </w:tc>
        <w:tc>
          <w:tcPr>
            <w:tcW w:type="dxa" w:w="6696"/>
            <w:tcMar>
              <w:top w:w="75" w:type="dxa"/>
              <w:start w:w="105" w:type="dxa"/>
              <w:bottom w:w="75" w:type="dxa"/>
              <w:end w:w="105" w:type="dxa"/>
            </w:tcMar>
            <w:vAlign w:val="center"/>
          </w:tcPr>
          <w:p>
            <w:r>
              <w:rPr>
                <w:rFonts w:ascii="Aptos" w:hAnsi="Aptos"/>
                <w:b w:val="0"/>
                <w:sz w:val="18"/>
              </w:rPr>
              <w:t>Approve referrer, review, amend, move, cancel or reject are office decisions. Rejected referrals release the place; cancelled referrals leave the active run-session workflow.</w:t>
            </w:r>
          </w:p>
        </w:tc>
      </w:tr>
      <w:tr>
        <w:trPr>
          <w:cantSplit/>
        </w:trPr>
        <w:tc>
          <w:tcPr>
            <w:tcW w:type="dxa" w:w="648"/>
            <w:tcMar>
              <w:top w:w="75" w:type="dxa"/>
              <w:start w:w="105" w:type="dxa"/>
              <w:bottom w:w="75" w:type="dxa"/>
              <w:end w:w="105" w:type="dxa"/>
            </w:tcMar>
            <w:vAlign w:val="center"/>
            <w:shd w:fill="17365D"/>
          </w:tcPr>
          <w:p>
            <w:pPr>
              <w:jc w:val="center"/>
            </w:pPr>
            <w:r>
              <w:rPr>
                <w:rFonts w:ascii="Aptos" w:hAnsi="Aptos"/>
                <w:b/>
                <w:color w:val="FFFFFF"/>
                <w:sz w:val="22"/>
              </w:rPr>
              <w:t>3</w:t>
            </w:r>
          </w:p>
        </w:tc>
        <w:tc>
          <w:tcPr>
            <w:tcW w:type="dxa" w:w="2448"/>
            <w:tcMar>
              <w:top w:w="75" w:type="dxa"/>
              <w:start w:w="105" w:type="dxa"/>
              <w:bottom w:w="75" w:type="dxa"/>
              <w:end w:w="105" w:type="dxa"/>
            </w:tcMar>
            <w:vAlign w:val="center"/>
          </w:tcPr>
          <w:p>
            <w:r>
              <w:rPr>
                <w:rFonts w:ascii="Aptos" w:hAnsi="Aptos"/>
                <w:b/>
                <w:sz w:val="18"/>
              </w:rPr>
              <w:t>Pick list preparation</w:t>
            </w:r>
          </w:p>
        </w:tc>
        <w:tc>
          <w:tcPr>
            <w:tcW w:type="dxa" w:w="6696"/>
            <w:tcMar>
              <w:top w:w="75" w:type="dxa"/>
              <w:start w:w="105" w:type="dxa"/>
              <w:bottom w:w="75" w:type="dxa"/>
              <w:end w:w="105" w:type="dxa"/>
            </w:tcMar>
            <w:vAlign w:val="center"/>
          </w:tcPr>
          <w:p>
            <w:r>
              <w:rPr>
                <w:rFonts w:ascii="Aptos" w:hAnsi="Aptos"/>
                <w:b w:val="0"/>
                <w:sz w:val="18"/>
              </w:rPr>
              <w:t>The client evaluates the referral's release and preference rules to build a parcel. A team lead checks the parcel before it can be printed or issued.</w:t>
            </w:r>
          </w:p>
        </w:tc>
      </w:tr>
      <w:tr>
        <w:trPr>
          <w:cantSplit/>
        </w:trPr>
        <w:tc>
          <w:tcPr>
            <w:tcW w:type="dxa" w:w="648"/>
            <w:tcMar>
              <w:top w:w="75" w:type="dxa"/>
              <w:start w:w="105" w:type="dxa"/>
              <w:bottom w:w="75" w:type="dxa"/>
              <w:end w:w="105" w:type="dxa"/>
            </w:tcMar>
            <w:vAlign w:val="center"/>
            <w:shd w:fill="17365D"/>
          </w:tcPr>
          <w:p>
            <w:pPr>
              <w:jc w:val="center"/>
            </w:pPr>
            <w:r>
              <w:rPr>
                <w:rFonts w:ascii="Aptos" w:hAnsi="Aptos"/>
                <w:b/>
                <w:color w:val="FFFFFF"/>
                <w:sz w:val="22"/>
              </w:rPr>
              <w:t>4</w:t>
            </w:r>
          </w:p>
        </w:tc>
        <w:tc>
          <w:tcPr>
            <w:tcW w:type="dxa" w:w="2448"/>
            <w:tcMar>
              <w:top w:w="75" w:type="dxa"/>
              <w:start w:w="105" w:type="dxa"/>
              <w:bottom w:w="75" w:type="dxa"/>
              <w:end w:w="105" w:type="dxa"/>
            </w:tcMar>
            <w:vAlign w:val="center"/>
          </w:tcPr>
          <w:p>
            <w:r>
              <w:rPr>
                <w:rFonts w:ascii="Aptos" w:hAnsi="Aptos"/>
                <w:b/>
                <w:sz w:val="18"/>
              </w:rPr>
              <w:t>Attendance outcome</w:t>
            </w:r>
          </w:p>
        </w:tc>
        <w:tc>
          <w:tcPr>
            <w:tcW w:type="dxa" w:w="6696"/>
            <w:tcMar>
              <w:top w:w="75" w:type="dxa"/>
              <w:start w:w="105" w:type="dxa"/>
              <w:bottom w:w="75" w:type="dxa"/>
              <w:end w:w="105" w:type="dxa"/>
            </w:tcMar>
            <w:vAlign w:val="center"/>
          </w:tcPr>
          <w:p>
            <w:r>
              <w:rPr>
                <w:rFonts w:ascii="Aptos" w:hAnsi="Aptos"/>
                <w:b w:val="0"/>
                <w:sz w:val="18"/>
              </w:rPr>
              <w:t>Collection is Attended; delivery is Delivered; missed collection is No Show; missed delivery is Not in. An outcome can be corrected until confirmation.</w:t>
            </w:r>
          </w:p>
        </w:tc>
      </w:tr>
      <w:tr>
        <w:trPr>
          <w:cantSplit/>
        </w:trPr>
        <w:tc>
          <w:tcPr>
            <w:tcW w:type="dxa" w:w="648"/>
            <w:tcMar>
              <w:top w:w="75" w:type="dxa"/>
              <w:start w:w="105" w:type="dxa"/>
              <w:bottom w:w="75" w:type="dxa"/>
              <w:end w:w="105" w:type="dxa"/>
            </w:tcMar>
            <w:vAlign w:val="center"/>
            <w:shd w:fill="17365D"/>
          </w:tcPr>
          <w:p>
            <w:pPr>
              <w:jc w:val="center"/>
            </w:pPr>
            <w:r>
              <w:rPr>
                <w:rFonts w:ascii="Aptos" w:hAnsi="Aptos"/>
                <w:b/>
                <w:color w:val="FFFFFF"/>
                <w:sz w:val="22"/>
              </w:rPr>
              <w:t>5</w:t>
            </w:r>
          </w:p>
        </w:tc>
        <w:tc>
          <w:tcPr>
            <w:tcW w:type="dxa" w:w="2448"/>
            <w:tcMar>
              <w:top w:w="75" w:type="dxa"/>
              <w:start w:w="105" w:type="dxa"/>
              <w:bottom w:w="75" w:type="dxa"/>
              <w:end w:w="105" w:type="dxa"/>
            </w:tcMar>
            <w:vAlign w:val="center"/>
          </w:tcPr>
          <w:p>
            <w:r>
              <w:rPr>
                <w:rFonts w:ascii="Aptos" w:hAnsi="Aptos"/>
                <w:b/>
                <w:sz w:val="18"/>
              </w:rPr>
              <w:t>Confirmation</w:t>
            </w:r>
          </w:p>
        </w:tc>
        <w:tc>
          <w:tcPr>
            <w:tcW w:type="dxa" w:w="6696"/>
            <w:tcMar>
              <w:top w:w="75" w:type="dxa"/>
              <w:start w:w="105" w:type="dxa"/>
              <w:bottom w:w="75" w:type="dxa"/>
              <w:end w:w="105" w:type="dxa"/>
            </w:tcMar>
            <w:vAlign w:val="center"/>
          </w:tcPr>
          <w:p>
            <w:r>
              <w:rPr>
                <w:rFonts w:ascii="Aptos" w:hAnsi="Aptos"/>
                <w:b w:val="0"/>
                <w:sz w:val="18"/>
              </w:rPr>
              <w:t>Every current household needs an outcome. Confirming makes the session final and enables downstream reporting or extraction.</w:t>
            </w:r>
          </w:p>
        </w:tc>
      </w:tr>
    </w:tbl>
    <w:p>
      <w:pPr>
        <w:pStyle w:val="Heading1"/>
        <w:keepNext/>
        <w:spacing w:before="280" w:after="120"/>
      </w:pPr>
      <w:r>
        <w:rPr>
          <w:rFonts w:ascii="Aptos" w:hAnsi="Aptos"/>
          <w:b/>
          <w:color w:val="000000"/>
          <w:sz w:val="32"/>
        </w:rPr>
        <w:t>Configuration releases are data</w:t>
      </w:r>
    </w:p>
    <w:p>
      <w:pPr>
        <w:spacing w:after="120" w:before="0" w:line="269" w:lineRule="auto"/>
      </w:pPr>
      <w:r>
        <w:rPr>
          <w:rFonts w:ascii="Aptos" w:hAnsi="Aptos"/>
          <w:b/>
          <w:sz w:val="21"/>
        </w:rPr>
        <w:t xml:space="preserve">The questionnaire and the preference rules are not normal client code. </w:t>
      </w:r>
      <w:r>
        <w:rPr>
          <w:rFonts w:ascii="Aptos" w:hAnsi="Aptos"/>
          <w:b w:val="0"/>
          <w:sz w:val="20"/>
        </w:rPr>
        <w:t>They are generated JSON documents maintained in a Google workbook, uploaded as an immutable pair and published as one release. The server stores their exact text but does not interpret it; the client validates and evaluates it. Each referral keeps its formId so historic answers can be rendered against the correct version.</w:t>
      </w:r>
    </w:p>
    <w:p>
      <w:pPr>
        <w:pStyle w:val="ListBullet"/>
        <w:spacing w:after="60" w:line="259" w:lineRule="auto"/>
      </w:pPr>
      <w:r>
        <w:rPr>
          <w:rFonts w:ascii="Aptos" w:hAnsi="Aptos"/>
          <w:b w:val="0"/>
          <w:sz w:val="20"/>
        </w:rPr>
        <w:t>Do not publish a questionnaire without its rules. A correction is a new release, not an edit of an older one.</w:t>
      </w:r>
    </w:p>
    <w:p>
      <w:pPr>
        <w:pStyle w:val="ListBullet"/>
        <w:spacing w:after="60" w:line="259" w:lineRule="auto"/>
      </w:pPr>
      <w:r>
        <w:rPr>
          <w:rFonts w:ascii="Aptos" w:hAnsi="Aptos"/>
          <w:b w:val="0"/>
          <w:sz w:val="20"/>
        </w:rPr>
        <w:t>Listener-sheet and fuel-list columns derive from the active form markers. Do not create a competing hard-coded allowlist.</w:t>
      </w:r>
    </w:p>
    <w:p>
      <w:pPr>
        <w:pStyle w:val="ListBullet"/>
        <w:spacing w:after="60" w:line="259" w:lineRule="auto"/>
      </w:pPr>
      <w:r>
        <w:rPr>
          <w:rFonts w:ascii="Aptos" w:hAnsi="Aptos"/>
          <w:b w:val="0"/>
          <w:sz w:val="20"/>
        </w:rPr>
        <w:t>Preference rules are applied in order and consume answers. They determine parcels, so validate them against current stock before releasing them.</w:t>
      </w:r>
    </w:p>
    <w:p>
      <w:r>
        <w:br w:type="page"/>
      </w:r>
    </w:p>
    <w:p>
      <w:pPr>
        <w:pStyle w:val="Heading1"/>
        <w:keepNext/>
        <w:spacing w:before="280" w:after="120"/>
      </w:pPr>
      <w:r>
        <w:rPr>
          <w:rFonts w:ascii="Aptos" w:hAnsi="Aptos"/>
          <w:b/>
          <w:color w:val="000000"/>
          <w:sz w:val="32"/>
        </w:rPr>
        <w:t>Privacy and printing boundaries</w:t>
      </w:r>
    </w:p>
    <w:p>
      <w:pPr>
        <w:spacing w:after="160" w:before="0" w:line="269" w:lineRule="auto"/>
      </w:pPr>
      <w:r>
        <w:rPr>
          <w:rFonts w:ascii="Aptos" w:hAnsi="Aptos"/>
          <w:b/>
          <w:sz w:val="21"/>
        </w:rPr>
        <w:t xml:space="preserve">The project treats a response shape as a privacy boundary. </w:t>
      </w:r>
      <w:r>
        <w:rPr>
          <w:rFonts w:ascii="Aptos" w:hAnsi="Aptos"/>
          <w:b w:val="0"/>
          <w:sz w:val="20"/>
        </w:rPr>
        <w:t>A team lead does not receive sensitive fields at all, so an accidental renderer cannot reveal them. Preserve narrow server endpoints rather than taking a broad referral response and hiding columns in the browser.</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2232"/>
            <w:shd w:fill="17365D"/>
            <w:tcMar>
              <w:top w:w="75" w:type="dxa"/>
              <w:start w:w="110" w:type="dxa"/>
              <w:bottom w:w="75" w:type="dxa"/>
              <w:end w:w="110" w:type="dxa"/>
            </w:tcMar>
            <w:vAlign w:val="center"/>
          </w:tcPr>
          <w:p>
            <w:r>
              <w:rPr>
                <w:rFonts w:ascii="Aptos" w:hAnsi="Aptos"/>
                <w:b/>
                <w:color w:val="FFFFFF"/>
                <w:sz w:val="18"/>
              </w:rPr>
              <w:t>Audience or output</w:t>
            </w:r>
          </w:p>
        </w:tc>
        <w:tc>
          <w:tcPr>
            <w:tcW w:type="dxa" w:w="3960"/>
            <w:shd w:fill="17365D"/>
            <w:tcMar>
              <w:top w:w="75" w:type="dxa"/>
              <w:start w:w="110" w:type="dxa"/>
              <w:bottom w:w="75" w:type="dxa"/>
              <w:end w:w="110" w:type="dxa"/>
            </w:tcMar>
            <w:vAlign w:val="center"/>
          </w:tcPr>
          <w:p>
            <w:r>
              <w:rPr>
                <w:rFonts w:ascii="Aptos" w:hAnsi="Aptos"/>
                <w:b/>
                <w:color w:val="FFFFFF"/>
                <w:sz w:val="18"/>
              </w:rPr>
              <w:t>Can receive</w:t>
            </w:r>
          </w:p>
        </w:tc>
        <w:tc>
          <w:tcPr>
            <w:tcW w:type="dxa" w:w="3600"/>
            <w:shd w:fill="17365D"/>
            <w:tcMar>
              <w:top w:w="75" w:type="dxa"/>
              <w:start w:w="110" w:type="dxa"/>
              <w:bottom w:w="75" w:type="dxa"/>
              <w:end w:w="110" w:type="dxa"/>
            </w:tcMar>
            <w:vAlign w:val="center"/>
          </w:tcPr>
          <w:p>
            <w:r>
              <w:rPr>
                <w:rFonts w:ascii="Aptos" w:hAnsi="Aptos"/>
                <w:b/>
                <w:color w:val="FFFFFF"/>
                <w:sz w:val="18"/>
              </w:rPr>
              <w:t>Must not receive</w:t>
            </w:r>
          </w:p>
        </w:tc>
      </w:tr>
      <w:tr>
        <w:trPr>
          <w:cantSplit/>
        </w:trPr>
        <w:tc>
          <w:tcPr>
            <w:tcW w:type="dxa" w:w="2232"/>
            <w:tcMar>
              <w:top w:w="75" w:type="dxa"/>
              <w:start w:w="110" w:type="dxa"/>
              <w:bottom w:w="75" w:type="dxa"/>
              <w:end w:w="110" w:type="dxa"/>
            </w:tcMar>
            <w:vAlign w:val="center"/>
          </w:tcPr>
          <w:p>
            <w:pPr>
              <w:spacing w:after="0" w:line="250" w:lineRule="auto"/>
            </w:pPr>
            <w:r>
              <w:rPr>
                <w:rFonts w:ascii="Aptos" w:hAnsi="Aptos"/>
                <w:b w:val="0"/>
                <w:sz w:val="17"/>
              </w:rPr>
              <w:t>Team lead session view</w:t>
            </w:r>
          </w:p>
        </w:tc>
        <w:tc>
          <w:tcPr>
            <w:tcW w:type="dxa" w:w="3960"/>
            <w:tcMar>
              <w:top w:w="75" w:type="dxa"/>
              <w:start w:w="110" w:type="dxa"/>
              <w:bottom w:w="75" w:type="dxa"/>
              <w:end w:w="110" w:type="dxa"/>
            </w:tcMar>
            <w:vAlign w:val="center"/>
          </w:tcPr>
          <w:p>
            <w:pPr>
              <w:spacing w:after="0" w:line="250" w:lineRule="auto"/>
            </w:pPr>
            <w:r>
              <w:rPr>
                <w:rFonts w:ascii="Aptos" w:hAnsi="Aptos"/>
                <w:b w:val="0"/>
                <w:sz w:val="17"/>
              </w:rPr>
              <w:t>Operational household details, pick number, parcel, current voucher instruction and outcome controls. The separate Referral details contact list also includes referrer name, organisation and phone.</w:t>
            </w:r>
          </w:p>
        </w:tc>
        <w:tc>
          <w:tcPr>
            <w:tcW w:type="dxa" w:w="3600"/>
            <w:tcMar>
              <w:top w:w="75" w:type="dxa"/>
              <w:start w:w="110" w:type="dxa"/>
              <w:bottom w:w="75" w:type="dxa"/>
              <w:end w:w="110" w:type="dxa"/>
            </w:tcMar>
            <w:vAlign w:val="center"/>
          </w:tcPr>
          <w:p>
            <w:pPr>
              <w:spacing w:after="0" w:line="250" w:lineRule="auto"/>
            </w:pPr>
            <w:r>
              <w:rPr>
                <w:rFonts w:ascii="Aptos" w:hAnsi="Aptos"/>
                <w:b w:val="0"/>
                <w:sz w:val="17"/>
              </w:rPr>
              <w:t>Reason for referral, referrer email, review comment, administrator notes and prior-referral search. The normal referral response does not include referrer phone.</w:t>
            </w:r>
          </w:p>
        </w:tc>
      </w:tr>
      <w:tr>
        <w:trPr>
          <w:cantSplit/>
        </w:trPr>
        <w:tc>
          <w:tcPr>
            <w:tcW w:type="dxa" w:w="2232"/>
            <w:tcMar>
              <w:top w:w="75" w:type="dxa"/>
              <w:start w:w="110" w:type="dxa"/>
              <w:bottom w:w="75" w:type="dxa"/>
              <w:end w:w="110" w:type="dxa"/>
            </w:tcMar>
            <w:vAlign w:val="center"/>
            <w:shd w:fill="F5F7F8"/>
          </w:tcPr>
          <w:p>
            <w:pPr>
              <w:spacing w:after="0" w:line="250" w:lineRule="auto"/>
            </w:pPr>
            <w:r>
              <w:rPr>
                <w:rFonts w:ascii="Aptos" w:hAnsi="Aptos"/>
                <w:b w:val="0"/>
                <w:sz w:val="17"/>
              </w:rPr>
              <w:t>Printed picking sheet</w:t>
            </w:r>
          </w:p>
        </w:tc>
        <w:tc>
          <w:tcPr>
            <w:tcW w:type="dxa" w:w="3960"/>
            <w:tcMar>
              <w:top w:w="75" w:type="dxa"/>
              <w:start w:w="110" w:type="dxa"/>
              <w:bottom w:w="75" w:type="dxa"/>
              <w:end w:w="110" w:type="dxa"/>
            </w:tcMar>
            <w:vAlign w:val="center"/>
            <w:shd w:fill="F5F7F8"/>
          </w:tcPr>
          <w:p>
            <w:pPr>
              <w:spacing w:after="0" w:line="250" w:lineRule="auto"/>
            </w:pPr>
            <w:r>
              <w:rPr>
                <w:rFonts w:ascii="Aptos" w:hAnsi="Aptos"/>
                <w:b w:val="0"/>
                <w:sz w:val="17"/>
              </w:rPr>
              <w:t>Name and parcel. Address, postcode and phone only for an actual delivery.</w:t>
            </w:r>
          </w:p>
        </w:tc>
        <w:tc>
          <w:tcPr>
            <w:tcW w:type="dxa" w:w="3600"/>
            <w:tcMar>
              <w:top w:w="75" w:type="dxa"/>
              <w:start w:w="110" w:type="dxa"/>
              <w:bottom w:w="75" w:type="dxa"/>
              <w:end w:w="110" w:type="dxa"/>
            </w:tcMar>
            <w:vAlign w:val="center"/>
            <w:shd w:fill="F5F7F8"/>
          </w:tcPr>
          <w:p>
            <w:pPr>
              <w:spacing w:after="0" w:line="250" w:lineRule="auto"/>
            </w:pPr>
            <w:r>
              <w:rPr>
                <w:rFonts w:ascii="Aptos" w:hAnsi="Aptos"/>
                <w:b w:val="0"/>
                <w:sz w:val="17"/>
              </w:rPr>
              <w:t>Reason for referral and unrelated personal details.</w:t>
            </w:r>
          </w:p>
        </w:tc>
      </w:tr>
      <w:tr>
        <w:trPr>
          <w:cantSplit/>
        </w:trPr>
        <w:tc>
          <w:tcPr>
            <w:tcW w:type="dxa" w:w="2232"/>
            <w:tcMar>
              <w:top w:w="75" w:type="dxa"/>
              <w:start w:w="110" w:type="dxa"/>
              <w:bottom w:w="75" w:type="dxa"/>
              <w:end w:w="110" w:type="dxa"/>
            </w:tcMar>
            <w:vAlign w:val="center"/>
          </w:tcPr>
          <w:p>
            <w:pPr>
              <w:spacing w:after="0" w:line="250" w:lineRule="auto"/>
            </w:pPr>
            <w:r>
              <w:rPr>
                <w:rFonts w:ascii="Aptos" w:hAnsi="Aptos"/>
                <w:b w:val="0"/>
                <w:sz w:val="17"/>
              </w:rPr>
              <w:t>Listener sheet</w:t>
            </w:r>
          </w:p>
        </w:tc>
        <w:tc>
          <w:tcPr>
            <w:tcW w:type="dxa" w:w="3960"/>
            <w:tcMar>
              <w:top w:w="75" w:type="dxa"/>
              <w:start w:w="110" w:type="dxa"/>
              <w:bottom w:w="75" w:type="dxa"/>
              <w:end w:w="110" w:type="dxa"/>
            </w:tcMar>
            <w:vAlign w:val="center"/>
          </w:tcPr>
          <w:p>
            <w:pPr>
              <w:spacing w:after="0" w:line="250" w:lineRule="auto"/>
            </w:pPr>
            <w:r>
              <w:rPr>
                <w:rFonts w:ascii="Aptos" w:hAnsi="Aptos"/>
                <w:b w:val="0"/>
                <w:sz w:val="17"/>
              </w:rPr>
              <w:t>Only the form fields currently marked for listener use, plus the controlled first-time or voucher instruction.</w:t>
            </w:r>
          </w:p>
        </w:tc>
        <w:tc>
          <w:tcPr>
            <w:tcW w:type="dxa" w:w="3600"/>
            <w:tcMar>
              <w:top w:w="75" w:type="dxa"/>
              <w:start w:w="110" w:type="dxa"/>
              <w:bottom w:w="75" w:type="dxa"/>
              <w:end w:w="110" w:type="dxa"/>
            </w:tcMar>
            <w:vAlign w:val="center"/>
          </w:tcPr>
          <w:p>
            <w:pPr>
              <w:spacing w:after="0" w:line="250" w:lineRule="auto"/>
            </w:pPr>
            <w:r>
              <w:rPr>
                <w:rFonts w:ascii="Aptos" w:hAnsi="Aptos"/>
                <w:b w:val="0"/>
                <w:sz w:val="17"/>
              </w:rPr>
              <w:t>Address, postcode, phone, referrer data, date of birth and parcel contents.</w:t>
            </w:r>
          </w:p>
        </w:tc>
      </w:tr>
      <w:tr>
        <w:trPr>
          <w:cantSplit/>
        </w:trPr>
        <w:tc>
          <w:tcPr>
            <w:tcW w:type="dxa" w:w="2232"/>
            <w:tcMar>
              <w:top w:w="75" w:type="dxa"/>
              <w:start w:w="110" w:type="dxa"/>
              <w:bottom w:w="75" w:type="dxa"/>
              <w:end w:w="110" w:type="dxa"/>
            </w:tcMar>
            <w:vAlign w:val="center"/>
            <w:shd w:fill="F5F7F8"/>
          </w:tcPr>
          <w:p>
            <w:pPr>
              <w:spacing w:after="0" w:line="250" w:lineRule="auto"/>
            </w:pPr>
            <w:r>
              <w:rPr>
                <w:rFonts w:ascii="Aptos" w:hAnsi="Aptos"/>
                <w:b w:val="0"/>
                <w:sz w:val="17"/>
              </w:rPr>
              <w:t>Referral details sheet</w:t>
            </w:r>
          </w:p>
        </w:tc>
        <w:tc>
          <w:tcPr>
            <w:tcW w:type="dxa" w:w="3960"/>
            <w:tcMar>
              <w:top w:w="75" w:type="dxa"/>
              <w:start w:w="110" w:type="dxa"/>
              <w:bottom w:w="75" w:type="dxa"/>
              <w:end w:w="110" w:type="dxa"/>
            </w:tcMar>
            <w:vAlign w:val="center"/>
            <w:shd w:fill="F5F7F8"/>
          </w:tcPr>
          <w:p>
            <w:pPr>
              <w:spacing w:after="0" w:line="250" w:lineRule="auto"/>
            </w:pPr>
            <w:r>
              <w:rPr>
                <w:rFonts w:ascii="Aptos" w:hAnsi="Aptos"/>
                <w:b w:val="0"/>
                <w:sz w:val="17"/>
              </w:rPr>
              <w:t>The controlled contact list for a session: client and referrer contact information, organisation and pick number.</w:t>
            </w:r>
          </w:p>
        </w:tc>
        <w:tc>
          <w:tcPr>
            <w:tcW w:type="dxa" w:w="3600"/>
            <w:tcMar>
              <w:top w:w="75" w:type="dxa"/>
              <w:start w:w="110" w:type="dxa"/>
              <w:bottom w:w="75" w:type="dxa"/>
              <w:end w:w="110" w:type="dxa"/>
            </w:tcMar>
            <w:vAlign w:val="center"/>
            <w:shd w:fill="F5F7F8"/>
          </w:tcPr>
          <w:p>
            <w:pPr>
              <w:spacing w:after="0" w:line="250" w:lineRule="auto"/>
            </w:pPr>
            <w:r>
              <w:rPr>
                <w:rFonts w:ascii="Aptos" w:hAnsi="Aptos"/>
                <w:b w:val="0"/>
                <w:sz w:val="17"/>
              </w:rPr>
              <w:t>Reason, date of birth, answers, review comment and parcel contents.</w:t>
            </w:r>
          </w:p>
        </w:tc>
      </w:tr>
      <w:tr>
        <w:trPr>
          <w:cantSplit/>
        </w:trPr>
        <w:tc>
          <w:tcPr>
            <w:tcW w:type="dxa" w:w="2232"/>
            <w:tcMar>
              <w:top w:w="75" w:type="dxa"/>
              <w:start w:w="110" w:type="dxa"/>
              <w:bottom w:w="75" w:type="dxa"/>
              <w:end w:w="110" w:type="dxa"/>
            </w:tcMar>
            <w:vAlign w:val="center"/>
          </w:tcPr>
          <w:p>
            <w:pPr>
              <w:spacing w:after="0" w:line="250" w:lineRule="auto"/>
            </w:pPr>
            <w:r>
              <w:rPr>
                <w:rFonts w:ascii="Aptos" w:hAnsi="Aptos"/>
                <w:b w:val="0"/>
                <w:sz w:val="17"/>
              </w:rPr>
              <w:t>Spreadsheet extract</w:t>
            </w:r>
          </w:p>
        </w:tc>
        <w:tc>
          <w:tcPr>
            <w:tcW w:type="dxa" w:w="3960"/>
            <w:tcMar>
              <w:top w:w="75" w:type="dxa"/>
              <w:start w:w="110" w:type="dxa"/>
              <w:bottom w:w="75" w:type="dxa"/>
              <w:end w:w="110" w:type="dxa"/>
            </w:tcMar>
            <w:vAlign w:val="center"/>
          </w:tcPr>
          <w:p>
            <w:pPr>
              <w:spacing w:after="0" w:line="250" w:lineRule="auto"/>
            </w:pPr>
            <w:r>
              <w:rPr>
                <w:rFonts w:ascii="Aptos" w:hAnsi="Aptos"/>
                <w:b w:val="0"/>
                <w:sz w:val="17"/>
              </w:rPr>
              <w:t>Postcode, date of birth, referral answers, referral status and a session-level stock-usage aggregate under hidden immutable column keys.</w:t>
            </w:r>
          </w:p>
        </w:tc>
        <w:tc>
          <w:tcPr>
            <w:tcW w:type="dxa" w:w="3600"/>
            <w:tcMar>
              <w:top w:w="75" w:type="dxa"/>
              <w:start w:w="110" w:type="dxa"/>
              <w:bottom w:w="75" w:type="dxa"/>
              <w:end w:w="110" w:type="dxa"/>
            </w:tcMar>
            <w:vAlign w:val="center"/>
          </w:tcPr>
          <w:p>
            <w:pPr>
              <w:spacing w:after="0" w:line="250" w:lineRule="auto"/>
            </w:pPr>
            <w:r>
              <w:rPr>
                <w:rFonts w:ascii="Aptos" w:hAnsi="Aptos"/>
                <w:b w:val="0"/>
                <w:sz w:val="17"/>
              </w:rPr>
              <w:t>Names, addresses, email addresses and telephone numbers.</w:t>
            </w:r>
          </w:p>
        </w:tc>
      </w:tr>
    </w:tbl>
    <w:p>
      <w:pPr>
        <w:spacing w:after="40"/>
      </w:pPr>
    </w:p>
    <w:p>
      <w:pPr>
        <w:pStyle w:val="Heading1"/>
        <w:keepNext/>
        <w:spacing w:before="280" w:after="120"/>
      </w:pPr>
      <w:r>
        <w:rPr>
          <w:rFonts w:ascii="Aptos" w:hAnsi="Aptos"/>
          <w:b/>
          <w:color w:val="000000"/>
          <w:sz w:val="32"/>
        </w:rPr>
        <w:t>What not to add</w:t>
      </w:r>
    </w:p>
    <w:p>
      <w:pPr>
        <w:pStyle w:val="ListBullet"/>
        <w:spacing w:after="60" w:line="259" w:lineRule="auto"/>
      </w:pPr>
      <w:r>
        <w:rPr>
          <w:rFonts w:ascii="Aptos" w:hAnsi="Aptos"/>
          <w:b w:val="0"/>
          <w:sz w:val="20"/>
        </w:rPr>
        <w:t>No referral data in a URL, local storage, session storage, service worker cache, console log or external telemetry.</w:t>
      </w:r>
    </w:p>
    <w:p>
      <w:pPr>
        <w:pStyle w:val="ListBullet"/>
        <w:spacing w:after="60" w:line="259" w:lineRule="auto"/>
      </w:pPr>
      <w:r>
        <w:rPr>
          <w:rFonts w:ascii="Aptos" w:hAnsi="Aptos"/>
          <w:b w:val="0"/>
          <w:sz w:val="20"/>
        </w:rPr>
        <w:t>No automatic retry of a timed-out Google Sheets write. It may have succeeded; use referral or session identifiers to find and remove a duplicate.</w:t>
      </w:r>
    </w:p>
    <w:p>
      <w:pPr>
        <w:pStyle w:val="ListBullet"/>
        <w:spacing w:after="60" w:line="259" w:lineRule="auto"/>
      </w:pPr>
      <w:r>
        <w:rPr>
          <w:rFonts w:ascii="Aptos" w:hAnsi="Aptos"/>
          <w:b w:val="0"/>
          <w:sz w:val="20"/>
        </w:rPr>
        <w:t>No new audit trail for sensitive records without an explicit charity decision. Corrections overwrite in the operational record by design.</w:t>
      </w:r>
    </w:p>
    <w:p>
      <w:pPr>
        <w:pStyle w:val="ListBullet"/>
        <w:spacing w:after="60" w:line="259" w:lineRule="auto"/>
      </w:pPr>
      <w:r>
        <w:rPr>
          <w:rFonts w:ascii="Aptos" w:hAnsi="Aptos"/>
          <w:b w:val="0"/>
          <w:sz w:val="20"/>
        </w:rPr>
        <w:t>No generic export or print view that bypasses the narrow-purpose sheet contracts.</w:t>
      </w:r>
    </w:p>
    <w:p>
      <w:r>
        <w:br w:type="page"/>
      </w:r>
    </w:p>
    <w:p>
      <w:pPr>
        <w:pStyle w:val="Heading1"/>
        <w:keepNext/>
        <w:spacing w:before="280" w:after="120"/>
      </w:pPr>
      <w:r>
        <w:rPr>
          <w:rFonts w:ascii="Aptos" w:hAnsi="Aptos"/>
          <w:b/>
          <w:color w:val="000000"/>
          <w:sz w:val="32"/>
        </w:rPr>
        <w:t>Screen catalogue</w:t>
      </w:r>
    </w:p>
    <w:p>
      <w:pPr>
        <w:spacing w:after="160" w:before="0" w:line="269" w:lineRule="auto"/>
      </w:pPr>
      <w:r>
        <w:rPr>
          <w:rFonts w:ascii="Aptos" w:hAnsi="Aptos"/>
          <w:b/>
          <w:sz w:val="21"/>
        </w:rPr>
        <w:t xml:space="preserve">Navigation is persistent top-level tabs with contextual links, not a hidden menu. </w:t>
      </w:r>
      <w:r>
        <w:rPr>
          <w:rFonts w:ascii="Aptos" w:hAnsi="Aptos"/>
          <w:b w:val="0"/>
          <w:sz w:val="20"/>
        </w:rPr>
        <w:t>Admin has Dashboard, Referrals, Stock, Sessions, Master Data and System. Team leads have Dashboard, Run a session and Stock. A fuel administrator has the Fuel application only.</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2232"/>
            <w:shd w:fill="17365D"/>
            <w:tcMar>
              <w:top w:w="75" w:type="dxa"/>
              <w:start w:w="110" w:type="dxa"/>
              <w:bottom w:w="75" w:type="dxa"/>
              <w:end w:w="110" w:type="dxa"/>
            </w:tcMar>
            <w:vAlign w:val="center"/>
          </w:tcPr>
          <w:p>
            <w:r>
              <w:rPr>
                <w:rFonts w:ascii="Aptos" w:hAnsi="Aptos"/>
                <w:b/>
                <w:color w:val="FFFFFF"/>
                <w:sz w:val="18"/>
              </w:rPr>
              <w:t>Area</w:t>
            </w:r>
          </w:p>
        </w:tc>
        <w:tc>
          <w:tcPr>
            <w:tcW w:type="dxa" w:w="3816"/>
            <w:shd w:fill="17365D"/>
            <w:tcMar>
              <w:top w:w="75" w:type="dxa"/>
              <w:start w:w="110" w:type="dxa"/>
              <w:bottom w:w="75" w:type="dxa"/>
              <w:end w:w="110" w:type="dxa"/>
            </w:tcMar>
            <w:vAlign w:val="center"/>
          </w:tcPr>
          <w:p>
            <w:r>
              <w:rPr>
                <w:rFonts w:ascii="Aptos" w:hAnsi="Aptos"/>
                <w:b/>
                <w:color w:val="FFFFFF"/>
                <w:sz w:val="18"/>
              </w:rPr>
              <w:t>What it is for</w:t>
            </w:r>
          </w:p>
        </w:tc>
        <w:tc>
          <w:tcPr>
            <w:tcW w:type="dxa" w:w="3744"/>
            <w:shd w:fill="17365D"/>
            <w:tcMar>
              <w:top w:w="75" w:type="dxa"/>
              <w:start w:w="110" w:type="dxa"/>
              <w:bottom w:w="75" w:type="dxa"/>
              <w:end w:w="110" w:type="dxa"/>
            </w:tcMar>
            <w:vAlign w:val="center"/>
          </w:tcPr>
          <w:p>
            <w:r>
              <w:rPr>
                <w:rFonts w:ascii="Aptos" w:hAnsi="Aptos"/>
                <w:b/>
                <w:color w:val="FFFFFF"/>
                <w:sz w:val="18"/>
              </w:rPr>
              <w:t>Maintain with care because</w:t>
            </w:r>
          </w:p>
        </w:tc>
      </w:tr>
      <w:tr>
        <w:trPr>
          <w:cantSplit/>
        </w:trPr>
        <w:tc>
          <w:tcPr>
            <w:tcW w:type="dxa" w:w="2232"/>
            <w:tcMar>
              <w:top w:w="75" w:type="dxa"/>
              <w:start w:w="110" w:type="dxa"/>
              <w:bottom w:w="75" w:type="dxa"/>
              <w:end w:w="110" w:type="dxa"/>
            </w:tcMar>
            <w:vAlign w:val="center"/>
          </w:tcPr>
          <w:p>
            <w:pPr>
              <w:spacing w:after="0" w:line="250" w:lineRule="auto"/>
            </w:pPr>
            <w:r>
              <w:rPr>
                <w:rFonts w:ascii="Aptos" w:hAnsi="Aptos"/>
                <w:b w:val="0"/>
                <w:sz w:val="17"/>
              </w:rPr>
              <w:t>Dashboard</w:t>
            </w:r>
          </w:p>
        </w:tc>
        <w:tc>
          <w:tcPr>
            <w:tcW w:type="dxa" w:w="3816"/>
            <w:tcMar>
              <w:top w:w="75" w:type="dxa"/>
              <w:start w:w="110" w:type="dxa"/>
              <w:bottom w:w="75" w:type="dxa"/>
              <w:end w:w="110" w:type="dxa"/>
            </w:tcMar>
            <w:vAlign w:val="center"/>
          </w:tcPr>
          <w:p>
            <w:pPr>
              <w:spacing w:after="0" w:line="250" w:lineRule="auto"/>
            </w:pPr>
            <w:r>
              <w:rPr>
                <w:rFonts w:ascii="Aptos" w:hAnsi="Aptos"/>
                <w:b w:val="0"/>
                <w:sz w:val="17"/>
              </w:rPr>
              <w:t>Real operational counts, today and upcoming sessions, action links and attention alerts by role.</w:t>
            </w:r>
          </w:p>
        </w:tc>
        <w:tc>
          <w:tcPr>
            <w:tcW w:type="dxa" w:w="3744"/>
            <w:tcMar>
              <w:top w:w="75" w:type="dxa"/>
              <w:start w:w="110" w:type="dxa"/>
              <w:bottom w:w="75" w:type="dxa"/>
              <w:end w:w="110" w:type="dxa"/>
            </w:tcMar>
            <w:vAlign w:val="center"/>
          </w:tcPr>
          <w:p>
            <w:pPr>
              <w:spacing w:after="0" w:line="250" w:lineRule="auto"/>
            </w:pPr>
            <w:r>
              <w:rPr>
                <w:rFonts w:ascii="Aptos" w:hAnsi="Aptos"/>
                <w:b w:val="0"/>
                <w:sz w:val="17"/>
              </w:rPr>
              <w:t>A false zero can prompt the wrong action; show loading instead.</w:t>
            </w:r>
          </w:p>
        </w:tc>
      </w:tr>
      <w:tr>
        <w:trPr>
          <w:cantSplit/>
        </w:trPr>
        <w:tc>
          <w:tcPr>
            <w:tcW w:type="dxa" w:w="2232"/>
            <w:tcMar>
              <w:top w:w="75" w:type="dxa"/>
              <w:start w:w="110" w:type="dxa"/>
              <w:bottom w:w="75" w:type="dxa"/>
              <w:end w:w="110" w:type="dxa"/>
            </w:tcMar>
            <w:vAlign w:val="center"/>
            <w:shd w:fill="F5F7F8"/>
          </w:tcPr>
          <w:p>
            <w:pPr>
              <w:spacing w:after="0" w:line="250" w:lineRule="auto"/>
            </w:pPr>
            <w:r>
              <w:rPr>
                <w:rFonts w:ascii="Aptos" w:hAnsi="Aptos"/>
                <w:b w:val="0"/>
                <w:sz w:val="17"/>
              </w:rPr>
              <w:t>Referrals</w:t>
            </w:r>
          </w:p>
        </w:tc>
        <w:tc>
          <w:tcPr>
            <w:tcW w:type="dxa" w:w="3816"/>
            <w:tcMar>
              <w:top w:w="75" w:type="dxa"/>
              <w:start w:w="110" w:type="dxa"/>
              <w:bottom w:w="75" w:type="dxa"/>
              <w:end w:w="110" w:type="dxa"/>
            </w:tcMar>
            <w:vAlign w:val="center"/>
            <w:shd w:fill="F5F7F8"/>
          </w:tcPr>
          <w:p>
            <w:pPr>
              <w:spacing w:after="0" w:line="250" w:lineRule="auto"/>
            </w:pPr>
            <w:r>
              <w:rPr>
                <w:rFonts w:ascii="Aptos" w:hAnsi="Aptos"/>
                <w:b w:val="0"/>
                <w:sz w:val="17"/>
              </w:rPr>
              <w:t>Review queue, referral search, controlled Sheets extract, SMS inbox and fuel help.</w:t>
            </w:r>
          </w:p>
        </w:tc>
        <w:tc>
          <w:tcPr>
            <w:tcW w:type="dxa" w:w="3744"/>
            <w:tcMar>
              <w:top w:w="75" w:type="dxa"/>
              <w:start w:w="110" w:type="dxa"/>
              <w:bottom w:w="75" w:type="dxa"/>
              <w:end w:w="110" w:type="dxa"/>
            </w:tcMar>
            <w:vAlign w:val="center"/>
            <w:shd w:fill="F5F7F8"/>
          </w:tcPr>
          <w:p>
            <w:pPr>
              <w:spacing w:after="0" w:line="250" w:lineRule="auto"/>
            </w:pPr>
            <w:r>
              <w:rPr>
                <w:rFonts w:ascii="Aptos" w:hAnsi="Aptos"/>
                <w:b w:val="0"/>
                <w:sz w:val="17"/>
              </w:rPr>
              <w:t>It contains the highest concentration of personal data and role-specific responses.</w:t>
            </w:r>
          </w:p>
        </w:tc>
      </w:tr>
      <w:tr>
        <w:trPr>
          <w:cantSplit/>
        </w:trPr>
        <w:tc>
          <w:tcPr>
            <w:tcW w:type="dxa" w:w="2232"/>
            <w:tcMar>
              <w:top w:w="75" w:type="dxa"/>
              <w:start w:w="110" w:type="dxa"/>
              <w:bottom w:w="75" w:type="dxa"/>
              <w:end w:w="110" w:type="dxa"/>
            </w:tcMar>
            <w:vAlign w:val="center"/>
          </w:tcPr>
          <w:p>
            <w:pPr>
              <w:spacing w:after="0" w:line="250" w:lineRule="auto"/>
            </w:pPr>
            <w:r>
              <w:rPr>
                <w:rFonts w:ascii="Aptos" w:hAnsi="Aptos"/>
                <w:b w:val="0"/>
                <w:sz w:val="17"/>
              </w:rPr>
              <w:t>Stock</w:t>
            </w:r>
          </w:p>
        </w:tc>
        <w:tc>
          <w:tcPr>
            <w:tcW w:type="dxa" w:w="3816"/>
            <w:tcMar>
              <w:top w:w="75" w:type="dxa"/>
              <w:start w:w="110" w:type="dxa"/>
              <w:bottom w:w="75" w:type="dxa"/>
              <w:end w:w="110" w:type="dxa"/>
            </w:tcMar>
            <w:vAlign w:val="center"/>
          </w:tcPr>
          <w:p>
            <w:pPr>
              <w:spacing w:after="0" w:line="250" w:lineRule="auto"/>
            </w:pPr>
            <w:r>
              <w:rPr>
                <w:rFonts w:ascii="Aptos" w:hAnsi="Aptos"/>
                <w:b w:val="0"/>
                <w:sz w:val="17"/>
              </w:rPr>
              <w:t>Levels, stock take, volunteer code, catalogue, groupings, crates, targets, shopping, model parcels and parcel grid.</w:t>
            </w:r>
          </w:p>
        </w:tc>
        <w:tc>
          <w:tcPr>
            <w:tcW w:type="dxa" w:w="3744"/>
            <w:tcMar>
              <w:top w:w="75" w:type="dxa"/>
              <w:start w:w="110" w:type="dxa"/>
              <w:bottom w:w="75" w:type="dxa"/>
              <w:end w:w="110" w:type="dxa"/>
            </w:tcMar>
            <w:vAlign w:val="center"/>
          </w:tcPr>
          <w:p>
            <w:pPr>
              <w:spacing w:after="0" w:line="250" w:lineRule="auto"/>
            </w:pPr>
            <w:r>
              <w:rPr>
                <w:rFonts w:ascii="Aptos" w:hAnsi="Aptos"/>
                <w:b w:val="0"/>
                <w:sz w:val="17"/>
              </w:rPr>
              <w:t>Shelf order, count grouping and parcel preferences flow directly into session stock decisions.</w:t>
            </w:r>
          </w:p>
        </w:tc>
      </w:tr>
      <w:tr>
        <w:trPr>
          <w:cantSplit/>
        </w:trPr>
        <w:tc>
          <w:tcPr>
            <w:tcW w:type="dxa" w:w="2232"/>
            <w:tcMar>
              <w:top w:w="75" w:type="dxa"/>
              <w:start w:w="110" w:type="dxa"/>
              <w:bottom w:w="75" w:type="dxa"/>
              <w:end w:w="110" w:type="dxa"/>
            </w:tcMar>
            <w:vAlign w:val="center"/>
            <w:shd w:fill="F5F7F8"/>
          </w:tcPr>
          <w:p>
            <w:pPr>
              <w:spacing w:after="0" w:line="250" w:lineRule="auto"/>
            </w:pPr>
            <w:r>
              <w:rPr>
                <w:rFonts w:ascii="Aptos" w:hAnsi="Aptos"/>
                <w:b w:val="0"/>
                <w:sz w:val="17"/>
              </w:rPr>
              <w:t>Sessions and Run a session</w:t>
            </w:r>
          </w:p>
        </w:tc>
        <w:tc>
          <w:tcPr>
            <w:tcW w:type="dxa" w:w="3816"/>
            <w:tcMar>
              <w:top w:w="75" w:type="dxa"/>
              <w:start w:w="110" w:type="dxa"/>
              <w:bottom w:w="75" w:type="dxa"/>
              <w:end w:w="110" w:type="dxa"/>
            </w:tcMar>
            <w:vAlign w:val="center"/>
            <w:shd w:fill="F5F7F8"/>
          </w:tcPr>
          <w:p>
            <w:pPr>
              <w:spacing w:after="0" w:line="250" w:lineRule="auto"/>
            </w:pPr>
            <w:r>
              <w:rPr>
                <w:rFonts w:ascii="Aptos" w:hAnsi="Aptos"/>
                <w:b w:val="0"/>
                <w:sz w:val="17"/>
              </w:rPr>
              <w:t>Session maintenance, recurring sessions, pick list preparation, printing, attendance, stock check and confirmation.</w:t>
            </w:r>
          </w:p>
        </w:tc>
        <w:tc>
          <w:tcPr>
            <w:tcW w:type="dxa" w:w="3744"/>
            <w:tcMar>
              <w:top w:w="75" w:type="dxa"/>
              <w:start w:w="110" w:type="dxa"/>
              <w:bottom w:w="75" w:type="dxa"/>
              <w:end w:w="110" w:type="dxa"/>
            </w:tcMar>
            <w:vAlign w:val="center"/>
            <w:shd w:fill="F5F7F8"/>
          </w:tcPr>
          <w:p>
            <w:pPr>
              <w:spacing w:after="0" w:line="250" w:lineRule="auto"/>
            </w:pPr>
            <w:r>
              <w:rPr>
                <w:rFonts w:ascii="Aptos" w:hAnsi="Aptos"/>
                <w:b w:val="0"/>
                <w:sz w:val="17"/>
              </w:rPr>
              <w:t>Attendance changes stock; confirmation is final; late referrals need reconciliation rather than rewriting existing parcels.</w:t>
            </w:r>
          </w:p>
        </w:tc>
      </w:tr>
      <w:tr>
        <w:trPr>
          <w:cantSplit/>
        </w:trPr>
        <w:tc>
          <w:tcPr>
            <w:tcW w:type="dxa" w:w="2232"/>
            <w:tcMar>
              <w:top w:w="75" w:type="dxa"/>
              <w:start w:w="110" w:type="dxa"/>
              <w:bottom w:w="75" w:type="dxa"/>
              <w:end w:w="110" w:type="dxa"/>
            </w:tcMar>
            <w:vAlign w:val="center"/>
          </w:tcPr>
          <w:p>
            <w:pPr>
              <w:spacing w:after="0" w:line="250" w:lineRule="auto"/>
            </w:pPr>
            <w:r>
              <w:rPr>
                <w:rFonts w:ascii="Aptos" w:hAnsi="Aptos"/>
                <w:b w:val="0"/>
                <w:sz w:val="17"/>
              </w:rPr>
              <w:t>Master Data</w:t>
            </w:r>
          </w:p>
        </w:tc>
        <w:tc>
          <w:tcPr>
            <w:tcW w:type="dxa" w:w="3816"/>
            <w:tcMar>
              <w:top w:w="75" w:type="dxa"/>
              <w:start w:w="110" w:type="dxa"/>
              <w:bottom w:w="75" w:type="dxa"/>
              <w:end w:w="110" w:type="dxa"/>
            </w:tcMar>
            <w:vAlign w:val="center"/>
          </w:tcPr>
          <w:p>
            <w:pPr>
              <w:spacing w:after="0" w:line="250" w:lineRule="auto"/>
            </w:pPr>
            <w:r>
              <w:rPr>
                <w:rFonts w:ascii="Aptos" w:hAnsi="Aptos"/>
                <w:b w:val="0"/>
                <w:sz w:val="17"/>
              </w:rPr>
              <w:t>Referrers, user roles, voucher dates and reasons for crisis.</w:t>
            </w:r>
          </w:p>
        </w:tc>
        <w:tc>
          <w:tcPr>
            <w:tcW w:type="dxa" w:w="3744"/>
            <w:tcMar>
              <w:top w:w="75" w:type="dxa"/>
              <w:start w:w="110" w:type="dxa"/>
              <w:bottom w:w="75" w:type="dxa"/>
              <w:end w:w="110" w:type="dxa"/>
            </w:tcMar>
            <w:vAlign w:val="center"/>
          </w:tcPr>
          <w:p>
            <w:pPr>
              <w:spacing w:after="0" w:line="250" w:lineRule="auto"/>
            </w:pPr>
            <w:r>
              <w:rPr>
                <w:rFonts w:ascii="Aptos" w:hAnsi="Aptos"/>
                <w:b w:val="0"/>
                <w:sz w:val="17"/>
              </w:rPr>
              <w:t>These are controlled reference values and permissions, not ordinary operational edits.</w:t>
            </w:r>
          </w:p>
        </w:tc>
      </w:tr>
    </w:tbl>
    <w:p>
      <w:pPr>
        <w:spacing w:after="40"/>
      </w:pPr>
    </w:p>
    <w:p>
      <w:pPr>
        <w:pStyle w:val="Heading1"/>
        <w:keepNext/>
        <w:spacing w:before="280" w:after="120"/>
      </w:pPr>
      <w:r>
        <w:rPr>
          <w:rFonts w:ascii="Aptos" w:hAnsi="Aptos"/>
          <w:b/>
          <w:color w:val="000000"/>
          <w:sz w:val="32"/>
        </w:rPr>
        <w:t>Public and limited surfaces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2232"/>
            <w:shd w:fill="17365D"/>
            <w:tcMar>
              <w:top w:w="75" w:type="dxa"/>
              <w:start w:w="110" w:type="dxa"/>
              <w:bottom w:w="75" w:type="dxa"/>
              <w:end w:w="110" w:type="dxa"/>
            </w:tcMar>
            <w:vAlign w:val="center"/>
          </w:tcPr>
          <w:p>
            <w:r>
              <w:rPr>
                <w:rFonts w:ascii="Aptos" w:hAnsi="Aptos"/>
                <w:b/>
                <w:color w:val="FFFFFF"/>
                <w:sz w:val="18"/>
              </w:rPr>
              <w:t>Surface</w:t>
            </w:r>
          </w:p>
        </w:tc>
        <w:tc>
          <w:tcPr>
            <w:tcW w:type="dxa" w:w="3816"/>
            <w:shd w:fill="17365D"/>
            <w:tcMar>
              <w:top w:w="75" w:type="dxa"/>
              <w:start w:w="110" w:type="dxa"/>
              <w:bottom w:w="75" w:type="dxa"/>
              <w:end w:w="110" w:type="dxa"/>
            </w:tcMar>
            <w:vAlign w:val="center"/>
          </w:tcPr>
          <w:p>
            <w:r>
              <w:rPr>
                <w:rFonts w:ascii="Aptos" w:hAnsi="Aptos"/>
                <w:b/>
                <w:color w:val="FFFFFF"/>
                <w:sz w:val="18"/>
              </w:rPr>
              <w:t>Purpose</w:t>
            </w:r>
          </w:p>
        </w:tc>
        <w:tc>
          <w:tcPr>
            <w:tcW w:type="dxa" w:w="3744"/>
            <w:shd w:fill="17365D"/>
            <w:tcMar>
              <w:top w:w="75" w:type="dxa"/>
              <w:start w:w="110" w:type="dxa"/>
              <w:bottom w:w="75" w:type="dxa"/>
              <w:end w:w="110" w:type="dxa"/>
            </w:tcMar>
            <w:vAlign w:val="center"/>
          </w:tcPr>
          <w:p>
            <w:r>
              <w:rPr>
                <w:rFonts w:ascii="Aptos" w:hAnsi="Aptos"/>
                <w:b/>
                <w:color w:val="FFFFFF"/>
                <w:sz w:val="18"/>
              </w:rPr>
              <w:t>Boundary</w:t>
            </w:r>
          </w:p>
        </w:tc>
      </w:tr>
      <w:tr>
        <w:trPr>
          <w:cantSplit/>
        </w:trPr>
        <w:tc>
          <w:tcPr>
            <w:tcW w:type="dxa" w:w="2232"/>
            <w:tcMar>
              <w:top w:w="75" w:type="dxa"/>
              <w:start w:w="110" w:type="dxa"/>
              <w:bottom w:w="75" w:type="dxa"/>
              <w:end w:w="110" w:type="dxa"/>
            </w:tcMar>
            <w:vAlign w:val="center"/>
          </w:tcPr>
          <w:p>
            <w:pPr>
              <w:spacing w:after="0" w:line="250" w:lineRule="auto"/>
            </w:pPr>
            <w:r>
              <w:rPr>
                <w:rFonts w:ascii="Aptos" w:hAnsi="Aptos"/>
                <w:b w:val="0"/>
                <w:sz w:val="17"/>
              </w:rPr>
              <w:t>Public referral form</w:t>
            </w:r>
          </w:p>
        </w:tc>
        <w:tc>
          <w:tcPr>
            <w:tcW w:type="dxa" w:w="3816"/>
            <w:tcMar>
              <w:top w:w="75" w:type="dxa"/>
              <w:start w:w="110" w:type="dxa"/>
              <w:bottom w:w="75" w:type="dxa"/>
              <w:end w:w="110" w:type="dxa"/>
            </w:tcMar>
            <w:vAlign w:val="center"/>
          </w:tcPr>
          <w:p>
            <w:pPr>
              <w:spacing w:after="0" w:line="250" w:lineRule="auto"/>
            </w:pPr>
            <w:r>
              <w:rPr>
                <w:rFonts w:ascii="Aptos" w:hAnsi="Aptos"/>
                <w:b w:val="0"/>
                <w:sz w:val="17"/>
              </w:rPr>
              <w:t>A configuration-driven seven-page form and confirmation for referrers.</w:t>
            </w:r>
          </w:p>
        </w:tc>
        <w:tc>
          <w:tcPr>
            <w:tcW w:type="dxa" w:w="3744"/>
            <w:tcMar>
              <w:top w:w="75" w:type="dxa"/>
              <w:start w:w="110" w:type="dxa"/>
              <w:bottom w:w="75" w:type="dxa"/>
              <w:end w:w="110" w:type="dxa"/>
            </w:tcMar>
            <w:vAlign w:val="center"/>
          </w:tcPr>
          <w:p>
            <w:pPr>
              <w:spacing w:after="0" w:line="250" w:lineRule="auto"/>
            </w:pPr>
            <w:r>
              <w:rPr>
                <w:rFonts w:ascii="Aptos" w:hAnsi="Aptos"/>
                <w:b w:val="0"/>
                <w:sz w:val="17"/>
              </w:rPr>
              <w:t>Unauthenticated and privacy-sensitive. It has no saved draft and referrers cannot amend after submission.</w:t>
            </w:r>
          </w:p>
        </w:tc>
      </w:tr>
      <w:tr>
        <w:trPr>
          <w:cantSplit/>
        </w:trPr>
        <w:tc>
          <w:tcPr>
            <w:tcW w:type="dxa" w:w="2232"/>
            <w:tcMar>
              <w:top w:w="75" w:type="dxa"/>
              <w:start w:w="110" w:type="dxa"/>
              <w:bottom w:w="75" w:type="dxa"/>
              <w:end w:w="110" w:type="dxa"/>
            </w:tcMar>
            <w:vAlign w:val="center"/>
            <w:shd w:fill="F5F7F8"/>
          </w:tcPr>
          <w:p>
            <w:pPr>
              <w:spacing w:after="0" w:line="250" w:lineRule="auto"/>
            </w:pPr>
            <w:r>
              <w:rPr>
                <w:rFonts w:ascii="Aptos" w:hAnsi="Aptos"/>
                <w:b w:val="0"/>
                <w:sz w:val="17"/>
              </w:rPr>
              <w:t>Volunteer stock count</w:t>
            </w:r>
          </w:p>
        </w:tc>
        <w:tc>
          <w:tcPr>
            <w:tcW w:type="dxa" w:w="3816"/>
            <w:tcMar>
              <w:top w:w="75" w:type="dxa"/>
              <w:start w:w="110" w:type="dxa"/>
              <w:bottom w:w="75" w:type="dxa"/>
              <w:end w:w="110" w:type="dxa"/>
            </w:tcMar>
            <w:vAlign w:val="center"/>
            <w:shd w:fill="F5F7F8"/>
          </w:tcPr>
          <w:p>
            <w:pPr>
              <w:spacing w:after="0" w:line="250" w:lineRule="auto"/>
            </w:pPr>
            <w:r>
              <w:rPr>
                <w:rFonts w:ascii="Aptos" w:hAnsi="Aptos"/>
                <w:b w:val="0"/>
                <w:sz w:val="17"/>
              </w:rPr>
              <w:t>A narrow no-account flow opened with a time-limited counting code.</w:t>
            </w:r>
          </w:p>
        </w:tc>
        <w:tc>
          <w:tcPr>
            <w:tcW w:type="dxa" w:w="3744"/>
            <w:tcMar>
              <w:top w:w="75" w:type="dxa"/>
              <w:start w:w="110" w:type="dxa"/>
              <w:bottom w:w="75" w:type="dxa"/>
              <w:end w:w="110" w:type="dxa"/>
            </w:tcMar>
            <w:vAlign w:val="center"/>
            <w:shd w:fill="F5F7F8"/>
          </w:tcPr>
          <w:p>
            <w:pPr>
              <w:spacing w:after="0" w:line="250" w:lineRule="auto"/>
            </w:pPr>
            <w:r>
              <w:rPr>
                <w:rFonts w:ascii="Aptos" w:hAnsi="Aptos"/>
                <w:b w:val="0"/>
                <w:sz w:val="17"/>
              </w:rPr>
              <w:t>The code remains only in memory and grants stock-taking only; it has no normal shell or menu.</w:t>
            </w:r>
          </w:p>
        </w:tc>
      </w:tr>
    </w:tbl>
    <w:p>
      <w:pPr>
        <w:spacing w:after="40"/>
      </w:pPr>
    </w:p>
    <w:p>
      <w:r>
        <w:br w:type="page"/>
      </w:r>
    </w:p>
    <w:p>
      <w:pPr>
        <w:pStyle w:val="Heading1"/>
        <w:keepNext/>
        <w:spacing w:before="280" w:after="120"/>
      </w:pPr>
      <w:r>
        <w:rPr>
          <w:rFonts w:ascii="Aptos" w:hAnsi="Aptos"/>
          <w:b/>
          <w:color w:val="000000"/>
          <w:sz w:val="32"/>
        </w:rPr>
        <w:t>The System screens</w:t>
      </w:r>
    </w:p>
    <w:p>
      <w:pPr>
        <w:spacing w:after="160" w:before="0" w:line="269" w:lineRule="auto"/>
      </w:pPr>
      <w:r>
        <w:rPr>
          <w:rFonts w:ascii="Aptos" w:hAnsi="Aptos"/>
          <w:b/>
          <w:sz w:val="21"/>
        </w:rPr>
        <w:t xml:space="preserve">System is an administrator-only maintenance area. </w:t>
      </w:r>
      <w:r>
        <w:rPr>
          <w:rFonts w:ascii="Aptos" w:hAnsi="Aptos"/>
          <w:b w:val="0"/>
          <w:sz w:val="20"/>
        </w:rPr>
        <w:t>It groups validation, release and platform-operation work that should not be confused with everyday Master Data. Its screens are deliberately direct: they make critical configuration visible without burying it in a submenu.</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2232"/>
            <w:shd w:fill="17365D"/>
            <w:tcMar>
              <w:top w:w="75" w:type="dxa"/>
              <w:start w:w="110" w:type="dxa"/>
              <w:bottom w:w="75" w:type="dxa"/>
              <w:end w:w="110" w:type="dxa"/>
            </w:tcMar>
            <w:vAlign w:val="center"/>
          </w:tcPr>
          <w:p>
            <w:r>
              <w:rPr>
                <w:rFonts w:ascii="Aptos" w:hAnsi="Aptos"/>
                <w:b/>
                <w:color w:val="FFFFFF"/>
                <w:sz w:val="18"/>
              </w:rPr>
              <w:t>Screen</w:t>
            </w:r>
          </w:p>
        </w:tc>
        <w:tc>
          <w:tcPr>
            <w:tcW w:type="dxa" w:w="3960"/>
            <w:shd w:fill="17365D"/>
            <w:tcMar>
              <w:top w:w="75" w:type="dxa"/>
              <w:start w:w="110" w:type="dxa"/>
              <w:bottom w:w="75" w:type="dxa"/>
              <w:end w:w="110" w:type="dxa"/>
            </w:tcMar>
            <w:vAlign w:val="center"/>
          </w:tcPr>
          <w:p>
            <w:r>
              <w:rPr>
                <w:rFonts w:ascii="Aptos" w:hAnsi="Aptos"/>
                <w:b/>
                <w:color w:val="FFFFFF"/>
                <w:sz w:val="18"/>
              </w:rPr>
              <w:t>Purpose</w:t>
            </w:r>
          </w:p>
        </w:tc>
        <w:tc>
          <w:tcPr>
            <w:tcW w:type="dxa" w:w="3600"/>
            <w:shd w:fill="17365D"/>
            <w:tcMar>
              <w:top w:w="75" w:type="dxa"/>
              <w:start w:w="110" w:type="dxa"/>
              <w:bottom w:w="75" w:type="dxa"/>
              <w:end w:w="110" w:type="dxa"/>
            </w:tcMar>
            <w:vAlign w:val="center"/>
          </w:tcPr>
          <w:p>
            <w:r>
              <w:rPr>
                <w:rFonts w:ascii="Aptos" w:hAnsi="Aptos"/>
                <w:b/>
                <w:color w:val="FFFFFF"/>
                <w:sz w:val="18"/>
              </w:rPr>
              <w:t>When a maintainer should use it</w:t>
            </w:r>
          </w:p>
        </w:tc>
      </w:tr>
      <w:tr>
        <w:trPr>
          <w:cantSplit/>
        </w:trPr>
        <w:tc>
          <w:tcPr>
            <w:tcW w:type="dxa" w:w="2232"/>
            <w:tcMar>
              <w:top w:w="75" w:type="dxa"/>
              <w:start w:w="110" w:type="dxa"/>
              <w:bottom w:w="75" w:type="dxa"/>
              <w:end w:w="110" w:type="dxa"/>
            </w:tcMar>
            <w:vAlign w:val="center"/>
          </w:tcPr>
          <w:p>
            <w:pPr>
              <w:spacing w:after="0" w:line="250" w:lineRule="auto"/>
            </w:pPr>
            <w:r>
              <w:rPr>
                <w:rFonts w:ascii="Aptos" w:hAnsi="Aptos"/>
                <w:b w:val="0"/>
                <w:sz w:val="17"/>
              </w:rPr>
              <w:t>Rule check</w:t>
            </w:r>
          </w:p>
        </w:tc>
        <w:tc>
          <w:tcPr>
            <w:tcW w:type="dxa" w:w="3960"/>
            <w:tcMar>
              <w:top w:w="75" w:type="dxa"/>
              <w:start w:w="110" w:type="dxa"/>
              <w:bottom w:w="75" w:type="dxa"/>
              <w:end w:w="110" w:type="dxa"/>
            </w:tcMar>
            <w:vAlign w:val="center"/>
          </w:tcPr>
          <w:p>
            <w:pPr>
              <w:spacing w:after="0" w:line="250" w:lineRule="auto"/>
            </w:pPr>
            <w:r>
              <w:rPr>
                <w:rFonts w:ascii="Aptos" w:hAnsi="Aptos"/>
                <w:b w:val="0"/>
                <w:sz w:val="17"/>
              </w:rPr>
              <w:t>Checks the active questionnaire and preference-rule configuration against current question keys, choice values and stock items. Results are a count and specific failures.</w:t>
            </w:r>
          </w:p>
        </w:tc>
        <w:tc>
          <w:tcPr>
            <w:tcW w:type="dxa" w:w="3600"/>
            <w:tcMar>
              <w:top w:w="75" w:type="dxa"/>
              <w:start w:w="110" w:type="dxa"/>
              <w:bottom w:w="75" w:type="dxa"/>
              <w:end w:w="110" w:type="dxa"/>
            </w:tcMar>
            <w:vAlign w:val="center"/>
          </w:tcPr>
          <w:p>
            <w:pPr>
              <w:spacing w:after="0" w:line="250" w:lineRule="auto"/>
            </w:pPr>
            <w:r>
              <w:rPr>
                <w:rFonts w:ascii="Aptos" w:hAnsi="Aptos"/>
                <w:b w:val="0"/>
                <w:sz w:val="17"/>
              </w:rPr>
              <w:t>Before or after a stock/catalogue or configuration change; when a parcel cannot be generated as expected; as the first release safeguard.</w:t>
            </w:r>
          </w:p>
        </w:tc>
      </w:tr>
      <w:tr>
        <w:trPr>
          <w:cantSplit/>
        </w:trPr>
        <w:tc>
          <w:tcPr>
            <w:tcW w:type="dxa" w:w="2232"/>
            <w:tcMar>
              <w:top w:w="75" w:type="dxa"/>
              <w:start w:w="110" w:type="dxa"/>
              <w:bottom w:w="75" w:type="dxa"/>
              <w:end w:w="110" w:type="dxa"/>
            </w:tcMar>
            <w:vAlign w:val="center"/>
            <w:shd w:fill="F5F7F8"/>
          </w:tcPr>
          <w:p>
            <w:pPr>
              <w:spacing w:after="0" w:line="250" w:lineRule="auto"/>
            </w:pPr>
            <w:r>
              <w:rPr>
                <w:rFonts w:ascii="Aptos" w:hAnsi="Aptos"/>
                <w:b w:val="0"/>
                <w:sz w:val="17"/>
              </w:rPr>
              <w:t>Publish referral form</w:t>
            </w:r>
          </w:p>
        </w:tc>
        <w:tc>
          <w:tcPr>
            <w:tcW w:type="dxa" w:w="3960"/>
            <w:tcMar>
              <w:top w:w="75" w:type="dxa"/>
              <w:start w:w="110" w:type="dxa"/>
              <w:bottom w:w="75" w:type="dxa"/>
              <w:end w:w="110" w:type="dxa"/>
            </w:tcMar>
            <w:vAlign w:val="center"/>
            <w:shd w:fill="F5F7F8"/>
          </w:tcPr>
          <w:p>
            <w:pPr>
              <w:spacing w:after="0" w:line="250" w:lineRule="auto"/>
            </w:pPr>
            <w:r>
              <w:rPr>
                <w:rFonts w:ascii="Aptos" w:hAnsi="Aptos"/>
                <w:b w:val="0"/>
                <w:sz w:val="17"/>
              </w:rPr>
              <w:t>Reads the workbook's generated Questionnaire and Rules JSON plus manifest from Google Sheets, asks for confirmation, validates the new pair and publishes it atomically only if it passes.</w:t>
            </w:r>
          </w:p>
        </w:tc>
        <w:tc>
          <w:tcPr>
            <w:tcW w:type="dxa" w:w="3600"/>
            <w:tcMar>
              <w:top w:w="75" w:type="dxa"/>
              <w:start w:w="110" w:type="dxa"/>
              <w:bottom w:w="75" w:type="dxa"/>
              <w:end w:w="110" w:type="dxa"/>
            </w:tcMar>
            <w:vAlign w:val="center"/>
            <w:shd w:fill="F5F7F8"/>
          </w:tcPr>
          <w:p>
            <w:pPr>
              <w:spacing w:after="0" w:line="250" w:lineRule="auto"/>
            </w:pPr>
            <w:r>
              <w:rPr>
                <w:rFonts w:ascii="Aptos" w:hAnsi="Aptos"/>
                <w:b w:val="0"/>
                <w:sz w:val="17"/>
              </w:rPr>
              <w:t>When the charity has made and generated a form/rule change. There is no separate draft browser or undo button in this screen; correct the workbook and publish a new release.</w:t>
            </w:r>
          </w:p>
        </w:tc>
      </w:tr>
      <w:tr>
        <w:trPr>
          <w:cantSplit/>
        </w:trPr>
        <w:tc>
          <w:tcPr>
            <w:tcW w:type="dxa" w:w="2232"/>
            <w:tcMar>
              <w:top w:w="75" w:type="dxa"/>
              <w:start w:w="110" w:type="dxa"/>
              <w:bottom w:w="75" w:type="dxa"/>
              <w:end w:w="110" w:type="dxa"/>
            </w:tcMar>
            <w:vAlign w:val="center"/>
          </w:tcPr>
          <w:p>
            <w:pPr>
              <w:spacing w:after="0" w:line="250" w:lineRule="auto"/>
            </w:pPr>
            <w:r>
              <w:rPr>
                <w:rFonts w:ascii="Aptos" w:hAnsi="Aptos"/>
                <w:b w:val="0"/>
                <w:sz w:val="17"/>
              </w:rPr>
              <w:t>Stock validation</w:t>
            </w:r>
          </w:p>
        </w:tc>
        <w:tc>
          <w:tcPr>
            <w:tcW w:type="dxa" w:w="3960"/>
            <w:tcMar>
              <w:top w:w="75" w:type="dxa"/>
              <w:start w:w="110" w:type="dxa"/>
              <w:bottom w:w="75" w:type="dxa"/>
              <w:end w:w="110" w:type="dxa"/>
            </w:tcMar>
            <w:vAlign w:val="center"/>
          </w:tcPr>
          <w:p>
            <w:pPr>
              <w:spacing w:after="0" w:line="250" w:lineRule="auto"/>
            </w:pPr>
            <w:r>
              <w:rPr>
                <w:rFonts w:ascii="Aptos" w:hAnsi="Aptos"/>
                <w:b w:val="0"/>
                <w:sz w:val="17"/>
              </w:rPr>
              <w:t>Runs the server-authoritative stock-setup check and displays its results. It sits under System even though its route begins /stock.</w:t>
            </w:r>
          </w:p>
        </w:tc>
        <w:tc>
          <w:tcPr>
            <w:tcW w:type="dxa" w:w="3600"/>
            <w:tcMar>
              <w:top w:w="75" w:type="dxa"/>
              <w:start w:w="110" w:type="dxa"/>
              <w:bottom w:w="75" w:type="dxa"/>
              <w:end w:w="110" w:type="dxa"/>
            </w:tcMar>
            <w:vAlign w:val="center"/>
          </w:tcPr>
          <w:p>
            <w:pPr>
              <w:spacing w:after="0" w:line="250" w:lineRule="auto"/>
            </w:pPr>
            <w:r>
              <w:rPr>
                <w:rFonts w:ascii="Aptos" w:hAnsi="Aptos"/>
                <w:b w:val="0"/>
                <w:sz w:val="17"/>
              </w:rPr>
              <w:t>After changing stock configuration, catalogue or rules; when configuration consistency is in doubt.</w:t>
            </w:r>
          </w:p>
        </w:tc>
      </w:tr>
      <w:tr>
        <w:trPr>
          <w:cantSplit/>
        </w:trPr>
        <w:tc>
          <w:tcPr>
            <w:tcW w:type="dxa" w:w="2232"/>
            <w:tcMar>
              <w:top w:w="75" w:type="dxa"/>
              <w:start w:w="110" w:type="dxa"/>
              <w:bottom w:w="75" w:type="dxa"/>
              <w:end w:w="110" w:type="dxa"/>
            </w:tcMar>
            <w:vAlign w:val="center"/>
            <w:shd w:fill="F5F7F8"/>
          </w:tcPr>
          <w:p>
            <w:pPr>
              <w:spacing w:after="0" w:line="250" w:lineRule="auto"/>
            </w:pPr>
            <w:r>
              <w:rPr>
                <w:rFonts w:ascii="Aptos" w:hAnsi="Aptos"/>
                <w:b w:val="0"/>
                <w:sz w:val="17"/>
              </w:rPr>
              <w:t>Cloudflare statistics</w:t>
            </w:r>
          </w:p>
        </w:tc>
        <w:tc>
          <w:tcPr>
            <w:tcW w:type="dxa" w:w="3960"/>
            <w:tcMar>
              <w:top w:w="75" w:type="dxa"/>
              <w:start w:w="110" w:type="dxa"/>
              <w:bottom w:w="75" w:type="dxa"/>
              <w:end w:w="110" w:type="dxa"/>
            </w:tcMar>
            <w:vAlign w:val="center"/>
            <w:shd w:fill="F5F7F8"/>
          </w:tcPr>
          <w:p>
            <w:pPr>
              <w:spacing w:after="0" w:line="250" w:lineRule="auto"/>
            </w:pPr>
            <w:r>
              <w:rPr>
                <w:rFonts w:ascii="Aptos" w:hAnsi="Aptos"/>
                <w:b w:val="0"/>
                <w:sz w:val="17"/>
              </w:rPr>
              <w:t>Shows nightly Worker and D1 usage. It opens with the last fourteen captured UTC dates; a missing date means no captured record, not All OK.</w:t>
            </w:r>
          </w:p>
        </w:tc>
        <w:tc>
          <w:tcPr>
            <w:tcW w:type="dxa" w:w="3600"/>
            <w:tcMar>
              <w:top w:w="75" w:type="dxa"/>
              <w:start w:w="110" w:type="dxa"/>
              <w:bottom w:w="75" w:type="dxa"/>
              <w:end w:w="110" w:type="dxa"/>
            </w:tcMar>
            <w:vAlign w:val="center"/>
            <w:shd w:fill="F5F7F8"/>
          </w:tcPr>
          <w:p>
            <w:pPr>
              <w:spacing w:after="0" w:line="250" w:lineRule="auto"/>
            </w:pPr>
            <w:r>
              <w:rPr>
                <w:rFonts w:ascii="Aptos" w:hAnsi="Aptos"/>
                <w:b w:val="0"/>
                <w:sz w:val="17"/>
              </w:rPr>
              <w:t>When dashboard alerts report an exceeded threshold, during capacity planning, or when investigating platform operating limits.</w:t>
            </w:r>
          </w:p>
        </w:tc>
      </w:tr>
    </w:tbl>
    <w:p>
      <w:pPr>
        <w:spacing w:after="40"/>
      </w:pPr>
    </w:p>
    <w:p>
      <w:pPr>
        <w:pStyle w:val="Heading1"/>
        <w:keepNext/>
        <w:spacing w:before="280" w:after="120"/>
      </w:pPr>
      <w:r>
        <w:rPr>
          <w:rFonts w:ascii="Aptos" w:hAnsi="Aptos"/>
          <w:b/>
          <w:color w:val="000000"/>
          <w:sz w:val="32"/>
        </w:rPr>
        <w:t>Reading Cloudflare statistics correctly</w:t>
      </w:r>
    </w:p>
    <w:p>
      <w:pPr>
        <w:pStyle w:val="ListBullet"/>
        <w:spacing w:after="60" w:line="259" w:lineRule="auto"/>
      </w:pPr>
      <w:r>
        <w:rPr>
          <w:rFonts w:ascii="Aptos" w:hAnsi="Aptos"/>
          <w:b w:val="0"/>
          <w:sz w:val="20"/>
        </w:rPr>
        <w:t>A threshold is a warning level, not always a settled policy value. Some thresholds remain explicitly assumed and should be reviewed before treating them as a formal limit.</w:t>
      </w:r>
    </w:p>
    <w:p>
      <w:pPr>
        <w:pStyle w:val="ListBullet"/>
        <w:spacing w:after="60" w:line="259" w:lineRule="auto"/>
      </w:pPr>
      <w:r>
        <w:rPr>
          <w:rFonts w:ascii="Aptos" w:hAnsi="Aptos"/>
          <w:b w:val="0"/>
          <w:sz w:val="20"/>
        </w:rPr>
        <w:t>One Worker error is an exceeded condition. CPU P99 is reference information only because it includes every Worker invocation, including scheduled maintenance.</w:t>
      </w:r>
    </w:p>
    <w:p>
      <w:pPr>
        <w:pStyle w:val="ListBullet"/>
        <w:spacing w:after="60" w:line="259" w:lineRule="auto"/>
      </w:pPr>
      <w:r>
        <w:rPr>
          <w:rFonts w:ascii="Aptos" w:hAnsi="Aptos"/>
          <w:b w:val="0"/>
          <w:sz w:val="20"/>
        </w:rPr>
        <w:t>Account-wide request count includes other Workers on the account. It gives context for the shared Cloudflare cap, not a pure Foodbank workload number.</w:t>
      </w:r>
    </w:p>
    <w:p>
      <w:r>
        <w:br w:type="page"/>
      </w:r>
    </w:p>
    <w:p>
      <w:pPr>
        <w:pStyle w:val="Heading1"/>
        <w:keepNext/>
        <w:spacing w:before="280" w:after="120"/>
      </w:pPr>
      <w:r>
        <w:rPr>
          <w:rFonts w:ascii="Aptos" w:hAnsi="Aptos"/>
          <w:b/>
          <w:color w:val="000000"/>
          <w:sz w:val="32"/>
        </w:rPr>
        <w:t>Development and deployment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2088"/>
            <w:shd w:fill="17365D"/>
            <w:tcMar>
              <w:top w:w="75" w:type="dxa"/>
              <w:start w:w="110" w:type="dxa"/>
              <w:bottom w:w="75" w:type="dxa"/>
              <w:end w:w="110" w:type="dxa"/>
            </w:tcMar>
            <w:vAlign w:val="center"/>
          </w:tcPr>
          <w:p>
            <w:r>
              <w:rPr>
                <w:rFonts w:ascii="Aptos" w:hAnsi="Aptos"/>
                <w:b/>
                <w:color w:val="FFFFFF"/>
                <w:sz w:val="18"/>
              </w:rPr>
              <w:t>Task</w:t>
            </w:r>
          </w:p>
        </w:tc>
        <w:tc>
          <w:tcPr>
            <w:tcW w:type="dxa" w:w="4608"/>
            <w:shd w:fill="17365D"/>
            <w:tcMar>
              <w:top w:w="75" w:type="dxa"/>
              <w:start w:w="110" w:type="dxa"/>
              <w:bottom w:w="75" w:type="dxa"/>
              <w:end w:w="110" w:type="dxa"/>
            </w:tcMar>
            <w:vAlign w:val="center"/>
          </w:tcPr>
          <w:p>
            <w:r>
              <w:rPr>
                <w:rFonts w:ascii="Aptos" w:hAnsi="Aptos"/>
                <w:b/>
                <w:color w:val="FFFFFF"/>
                <w:sz w:val="18"/>
              </w:rPr>
              <w:t>Safe command or practice</w:t>
            </w:r>
          </w:p>
        </w:tc>
        <w:tc>
          <w:tcPr>
            <w:tcW w:type="dxa" w:w="3096"/>
            <w:shd w:fill="17365D"/>
            <w:tcMar>
              <w:top w:w="75" w:type="dxa"/>
              <w:start w:w="110" w:type="dxa"/>
              <w:bottom w:w="75" w:type="dxa"/>
              <w:end w:w="110" w:type="dxa"/>
            </w:tcMar>
            <w:vAlign w:val="center"/>
          </w:tcPr>
          <w:p>
            <w:r>
              <w:rPr>
                <w:rFonts w:ascii="Aptos" w:hAnsi="Aptos"/>
                <w:b/>
                <w:color w:val="FFFFFF"/>
                <w:sz w:val="18"/>
              </w:rPr>
              <w:t>Why</w:t>
            </w:r>
          </w:p>
        </w:tc>
      </w:tr>
      <w:tr>
        <w:trPr>
          <w:cantSplit/>
        </w:trPr>
        <w:tc>
          <w:tcPr>
            <w:tcW w:type="dxa" w:w="2088"/>
            <w:tcMar>
              <w:top w:w="75" w:type="dxa"/>
              <w:start w:w="110" w:type="dxa"/>
              <w:bottom w:w="75" w:type="dxa"/>
              <w:end w:w="110" w:type="dxa"/>
            </w:tcMar>
            <w:vAlign w:val="center"/>
          </w:tcPr>
          <w:p>
            <w:pPr>
              <w:spacing w:after="0" w:line="250" w:lineRule="auto"/>
            </w:pPr>
            <w:r>
              <w:rPr>
                <w:rFonts w:ascii="Aptos" w:hAnsi="Aptos"/>
                <w:b w:val="0"/>
                <w:sz w:val="17"/>
              </w:rPr>
              <w:t>Install and validate</w:t>
            </w:r>
          </w:p>
        </w:tc>
        <w:tc>
          <w:tcPr>
            <w:tcW w:type="dxa" w:w="4608"/>
            <w:tcMar>
              <w:top w:w="75" w:type="dxa"/>
              <w:start w:w="110" w:type="dxa"/>
              <w:bottom w:w="75" w:type="dxa"/>
              <w:end w:w="110" w:type="dxa"/>
            </w:tcMar>
            <w:vAlign w:val="center"/>
          </w:tcPr>
          <w:p>
            <w:pPr>
              <w:spacing w:after="0" w:line="250" w:lineRule="auto"/>
            </w:pPr>
            <w:r>
              <w:rPr>
                <w:rFonts w:ascii="Aptos" w:hAnsi="Aptos"/>
                <w:b w:val="0"/>
                <w:sz w:val="17"/>
              </w:rPr>
              <w:t>npm install; npm run cf-typegen; npm run check</w:t>
            </w:r>
          </w:p>
        </w:tc>
        <w:tc>
          <w:tcPr>
            <w:tcW w:type="dxa" w:w="3096"/>
            <w:tcMar>
              <w:top w:w="75" w:type="dxa"/>
              <w:start w:w="110" w:type="dxa"/>
              <w:bottom w:w="75" w:type="dxa"/>
              <w:end w:w="110" w:type="dxa"/>
            </w:tcMar>
            <w:vAlign w:val="center"/>
          </w:tcPr>
          <w:p>
            <w:pPr>
              <w:spacing w:after="0" w:line="250" w:lineRule="auto"/>
            </w:pPr>
            <w:r>
              <w:rPr>
                <w:rFonts w:ascii="Aptos" w:hAnsi="Aptos"/>
                <w:b w:val="0"/>
                <w:sz w:val="17"/>
              </w:rPr>
              <w:t>The full check is the client completion gate and validates generated Worker types and the deploy build without credentials.</w:t>
            </w:r>
          </w:p>
        </w:tc>
      </w:tr>
      <w:tr>
        <w:trPr>
          <w:cantSplit/>
        </w:trPr>
        <w:tc>
          <w:tcPr>
            <w:tcW w:type="dxa" w:w="2088"/>
            <w:tcMar>
              <w:top w:w="75" w:type="dxa"/>
              <w:start w:w="110" w:type="dxa"/>
              <w:bottom w:w="75" w:type="dxa"/>
              <w:end w:w="110" w:type="dxa"/>
            </w:tcMar>
            <w:vAlign w:val="center"/>
            <w:shd w:fill="F5F7F8"/>
          </w:tcPr>
          <w:p>
            <w:pPr>
              <w:spacing w:after="0" w:line="250" w:lineRule="auto"/>
            </w:pPr>
            <w:r>
              <w:rPr>
                <w:rFonts w:ascii="Aptos" w:hAnsi="Aptos"/>
                <w:b w:val="0"/>
                <w:sz w:val="17"/>
              </w:rPr>
              <w:t>Run locally</w:t>
            </w:r>
          </w:p>
        </w:tc>
        <w:tc>
          <w:tcPr>
            <w:tcW w:type="dxa" w:w="4608"/>
            <w:tcMar>
              <w:top w:w="75" w:type="dxa"/>
              <w:start w:w="110" w:type="dxa"/>
              <w:bottom w:w="75" w:type="dxa"/>
              <w:end w:w="110" w:type="dxa"/>
            </w:tcMar>
            <w:vAlign w:val="center"/>
            <w:shd w:fill="F5F7F8"/>
          </w:tcPr>
          <w:p>
            <w:pPr>
              <w:spacing w:after="0" w:line="250" w:lineRule="auto"/>
            </w:pPr>
            <w:r>
              <w:rPr>
                <w:rFonts w:ascii="Aptos" w:hAnsi="Aptos"/>
                <w:b w:val="0"/>
                <w:sz w:val="17"/>
              </w:rPr>
              <w:t>Server: npm run db:migrate:local then npm run dev. Client: npm run dev at localhost:5173.</w:t>
            </w:r>
          </w:p>
        </w:tc>
        <w:tc>
          <w:tcPr>
            <w:tcW w:type="dxa" w:w="3096"/>
            <w:tcMar>
              <w:top w:w="75" w:type="dxa"/>
              <w:start w:w="110" w:type="dxa"/>
              <w:bottom w:w="75" w:type="dxa"/>
              <w:end w:w="110" w:type="dxa"/>
            </w:tcMar>
            <w:vAlign w:val="center"/>
            <w:shd w:fill="F5F7F8"/>
          </w:tcPr>
          <w:p>
            <w:pPr>
              <w:spacing w:after="0" w:line="250" w:lineRule="auto"/>
            </w:pPr>
            <w:r>
              <w:rPr>
                <w:rFonts w:ascii="Aptos" w:hAnsi="Aptos"/>
                <w:b w:val="0"/>
                <w:sz w:val="17"/>
              </w:rPr>
              <w:t>Use localhost, not 127.0.0.1, because changing host changes cookie-site semantics.</w:t>
            </w:r>
          </w:p>
        </w:tc>
      </w:tr>
      <w:tr>
        <w:trPr>
          <w:cantSplit/>
        </w:trPr>
        <w:tc>
          <w:tcPr>
            <w:tcW w:type="dxa" w:w="2088"/>
            <w:tcMar>
              <w:top w:w="75" w:type="dxa"/>
              <w:start w:w="110" w:type="dxa"/>
              <w:bottom w:w="75" w:type="dxa"/>
              <w:end w:w="110" w:type="dxa"/>
            </w:tcMar>
            <w:vAlign w:val="center"/>
          </w:tcPr>
          <w:p>
            <w:pPr>
              <w:spacing w:after="0" w:line="250" w:lineRule="auto"/>
            </w:pPr>
            <w:r>
              <w:rPr>
                <w:rFonts w:ascii="Aptos" w:hAnsi="Aptos"/>
                <w:b w:val="0"/>
                <w:sz w:val="17"/>
              </w:rPr>
              <w:t>Change the API contract</w:t>
            </w:r>
          </w:p>
        </w:tc>
        <w:tc>
          <w:tcPr>
            <w:tcW w:type="dxa" w:w="4608"/>
            <w:tcMar>
              <w:top w:w="75" w:type="dxa"/>
              <w:start w:w="110" w:type="dxa"/>
              <w:bottom w:w="75" w:type="dxa"/>
              <w:end w:w="110" w:type="dxa"/>
            </w:tcMar>
            <w:vAlign w:val="center"/>
          </w:tcPr>
          <w:p>
            <w:pPr>
              <w:spacing w:after="0" w:line="250" w:lineRule="auto"/>
            </w:pPr>
            <w:r>
              <w:rPr>
                <w:rFonts w:ascii="Aptos" w:hAnsi="Aptos"/>
                <w:b w:val="0"/>
                <w:sz w:val="17"/>
              </w:rPr>
              <w:t>Update server contract, then run npm run api:types in this repo and repair typed fixtures.</w:t>
            </w:r>
          </w:p>
        </w:tc>
        <w:tc>
          <w:tcPr>
            <w:tcW w:type="dxa" w:w="3096"/>
            <w:tcMar>
              <w:top w:w="75" w:type="dxa"/>
              <w:start w:w="110" w:type="dxa"/>
              <w:bottom w:w="75" w:type="dxa"/>
              <w:end w:w="110" w:type="dxa"/>
            </w:tcMar>
            <w:vAlign w:val="center"/>
          </w:tcPr>
          <w:p>
            <w:pPr>
              <w:spacing w:after="0" w:line="250" w:lineRule="auto"/>
            </w:pPr>
            <w:r>
              <w:rPr>
                <w:rFonts w:ascii="Aptos" w:hAnsi="Aptos"/>
                <w:b w:val="0"/>
                <w:sz w:val="17"/>
              </w:rPr>
              <w:t>src/api/schema.d.ts is generated and the client must not invent response/request interfaces.</w:t>
            </w:r>
          </w:p>
        </w:tc>
      </w:tr>
      <w:tr>
        <w:trPr>
          <w:cantSplit/>
        </w:trPr>
        <w:tc>
          <w:tcPr>
            <w:tcW w:type="dxa" w:w="2088"/>
            <w:tcMar>
              <w:top w:w="75" w:type="dxa"/>
              <w:start w:w="110" w:type="dxa"/>
              <w:bottom w:w="75" w:type="dxa"/>
              <w:end w:w="110" w:type="dxa"/>
            </w:tcMar>
            <w:vAlign w:val="center"/>
            <w:shd w:fill="F5F7F8"/>
          </w:tcPr>
          <w:p>
            <w:pPr>
              <w:spacing w:after="0" w:line="250" w:lineRule="auto"/>
            </w:pPr>
            <w:r>
              <w:rPr>
                <w:rFonts w:ascii="Aptos" w:hAnsi="Aptos"/>
                <w:b w:val="0"/>
                <w:sz w:val="17"/>
              </w:rPr>
              <w:t>Deploy the test pair</w:t>
            </w:r>
          </w:p>
        </w:tc>
        <w:tc>
          <w:tcPr>
            <w:tcW w:type="dxa" w:w="4608"/>
            <w:tcMar>
              <w:top w:w="75" w:type="dxa"/>
              <w:start w:w="110" w:type="dxa"/>
              <w:bottom w:w="75" w:type="dxa"/>
              <w:end w:w="110" w:type="dxa"/>
            </w:tcMar>
            <w:vAlign w:val="center"/>
            <w:shd w:fill="F5F7F8"/>
          </w:tcPr>
          <w:p>
            <w:pPr>
              <w:spacing w:after="0" w:line="250" w:lineRule="auto"/>
            </w:pPr>
            <w:r>
              <w:rPr>
                <w:rFonts w:ascii="Aptos" w:hAnsi="Aptos"/>
                <w:b w:val="0"/>
                <w:sz w:val="17"/>
              </w:rPr>
              <w:t>Use deploy_foodbank unless diagnosing a deliberate phase. It checks both repos, migrates/deploys the server, deploys the client and verifies health, version and a proxied public response.</w:t>
            </w:r>
          </w:p>
        </w:tc>
        <w:tc>
          <w:tcPr>
            <w:tcW w:type="dxa" w:w="3096"/>
            <w:tcMar>
              <w:top w:w="75" w:type="dxa"/>
              <w:start w:w="110" w:type="dxa"/>
              <w:bottom w:w="75" w:type="dxa"/>
              <w:end w:w="110" w:type="dxa"/>
            </w:tcMar>
            <w:vAlign w:val="center"/>
            <w:shd w:fill="F5F7F8"/>
          </w:tcPr>
          <w:p>
            <w:pPr>
              <w:spacing w:after="0" w:line="250" w:lineRule="auto"/>
            </w:pPr>
            <w:r>
              <w:rPr>
                <w:rFonts w:ascii="Aptos" w:hAnsi="Aptos"/>
                <w:b w:val="0"/>
                <w:sz w:val="17"/>
              </w:rPr>
              <w:t>The client and server must be compatible and deployed as the intended pair.</w:t>
            </w:r>
          </w:p>
        </w:tc>
      </w:tr>
      <w:tr>
        <w:trPr>
          <w:cantSplit/>
        </w:trPr>
        <w:tc>
          <w:tcPr>
            <w:tcW w:type="dxa" w:w="2088"/>
            <w:tcMar>
              <w:top w:w="75" w:type="dxa"/>
              <w:start w:w="110" w:type="dxa"/>
              <w:bottom w:w="75" w:type="dxa"/>
              <w:end w:w="110" w:type="dxa"/>
            </w:tcMar>
            <w:vAlign w:val="center"/>
          </w:tcPr>
          <w:p>
            <w:pPr>
              <w:spacing w:after="0" w:line="250" w:lineRule="auto"/>
            </w:pPr>
            <w:r>
              <w:rPr>
                <w:rFonts w:ascii="Aptos" w:hAnsi="Aptos"/>
                <w:b w:val="0"/>
                <w:sz w:val="17"/>
              </w:rPr>
              <w:t>Deploy UAT</w:t>
            </w:r>
          </w:p>
        </w:tc>
        <w:tc>
          <w:tcPr>
            <w:tcW w:type="dxa" w:w="4608"/>
            <w:tcMar>
              <w:top w:w="75" w:type="dxa"/>
              <w:start w:w="110" w:type="dxa"/>
              <w:bottom w:w="75" w:type="dxa"/>
              <w:end w:w="110" w:type="dxa"/>
            </w:tcMar>
            <w:vAlign w:val="center"/>
          </w:tcPr>
          <w:p>
            <w:pPr>
              <w:spacing w:after="0" w:line="250" w:lineRule="auto"/>
            </w:pPr>
            <w:r>
              <w:rPr>
                <w:rFonts w:ascii="Aptos" w:hAnsi="Aptos"/>
                <w:b w:val="0"/>
                <w:sz w:val="17"/>
              </w:rPr>
              <w:t>Use the documented --uat helper route and the charity Cloudflare account.</w:t>
            </w:r>
          </w:p>
        </w:tc>
        <w:tc>
          <w:tcPr>
            <w:tcW w:type="dxa" w:w="3096"/>
            <w:tcMar>
              <w:top w:w="75" w:type="dxa"/>
              <w:start w:w="110" w:type="dxa"/>
              <w:bottom w:w="75" w:type="dxa"/>
              <w:end w:w="110" w:type="dxa"/>
            </w:tcMar>
            <w:vAlign w:val="center"/>
          </w:tcPr>
          <w:p>
            <w:pPr>
              <w:spacing w:after="0" w:line="250" w:lineRule="auto"/>
            </w:pPr>
            <w:r>
              <w:rPr>
                <w:rFonts w:ascii="Aptos" w:hAnsi="Aptos"/>
                <w:b w:val="0"/>
                <w:sz w:val="17"/>
              </w:rPr>
              <w:t>UAT uses its own Workers, Turnstile widget and real Google sign-in. Do not rely on ambient wrangler login state.</w:t>
            </w:r>
          </w:p>
        </w:tc>
      </w:tr>
    </w:tbl>
    <w:p>
      <w:pPr>
        <w:spacing w:after="40"/>
      </w:pPr>
    </w:p>
    <w:p>
      <w:pPr>
        <w:pStyle w:val="Heading1"/>
        <w:keepNext/>
        <w:spacing w:before="280" w:after="120"/>
      </w:pPr>
      <w:r>
        <w:rPr>
          <w:rFonts w:ascii="Aptos" w:hAnsi="Aptos"/>
          <w:b/>
          <w:color w:val="000000"/>
          <w:sz w:val="32"/>
        </w:rPr>
        <w:t>Deployment configuration that must exist</w:t>
      </w:r>
    </w:p>
    <w:p>
      <w:pPr>
        <w:pStyle w:val="ListBullet"/>
        <w:spacing w:after="60" w:line="259" w:lineRule="auto"/>
      </w:pPr>
      <w:r>
        <w:rPr>
          <w:rFonts w:ascii="Aptos" w:hAnsi="Aptos"/>
          <w:b w:val="0"/>
          <w:sz w:val="20"/>
        </w:rPr>
        <w:t>Google identity/domain for production. Dummy sign-in is development-only and production must refuse to start with it configured.</w:t>
      </w:r>
    </w:p>
    <w:p>
      <w:pPr>
        <w:pStyle w:val="ListBullet"/>
        <w:spacing w:after="60" w:line="259" w:lineRule="auto"/>
      </w:pPr>
      <w:r>
        <w:rPr>
          <w:rFonts w:ascii="Aptos" w:hAnsi="Aptos"/>
          <w:b w:val="0"/>
          <w:sz w:val="20"/>
        </w:rPr>
        <w:t>A matched Turnstile site key and server secret in deployed environments. Local development intentionally has neither enabled.</w:t>
      </w:r>
    </w:p>
    <w:p>
      <w:pPr>
        <w:pStyle w:val="ListBullet"/>
        <w:spacing w:after="60" w:line="259" w:lineRule="auto"/>
      </w:pPr>
      <w:r>
        <w:rPr>
          <w:rFonts w:ascii="Aptos" w:hAnsi="Aptos"/>
          <w:b w:val="0"/>
          <w:sz w:val="20"/>
        </w:rPr>
        <w:t>Google OAuth client and authoring workbook configuration for release publishing; a separately configured fixed spreadsheet for the controlled extract.</w:t>
      </w:r>
    </w:p>
    <w:p>
      <w:pPr>
        <w:pStyle w:val="ListBullet"/>
        <w:spacing w:after="60" w:line="259" w:lineRule="auto"/>
      </w:pPr>
      <w:r>
        <w:rPr>
          <w:rFonts w:ascii="Aptos" w:hAnsi="Aptos"/>
          <w:b w:val="0"/>
          <w:sz w:val="20"/>
        </w:rPr>
        <w:t>Server retention configuration, including PII_RETENTION_DAYS, before treating automatic purge behaviour as live.</w:t>
      </w:r>
    </w:p>
    <w:p>
      <w:pPr>
        <w:pStyle w:val="Heading1"/>
        <w:keepNext/>
        <w:spacing w:before="280" w:after="120"/>
      </w:pPr>
      <w:r>
        <w:rPr>
          <w:rFonts w:ascii="Aptos" w:hAnsi="Aptos"/>
          <w:b/>
          <w:color w:val="000000"/>
          <w:sz w:val="32"/>
        </w:rPr>
        <w:t>Known verification work</w:t>
      </w:r>
    </w:p>
    <w:p>
      <w:pPr>
        <w:spacing w:after="0" w:before="0" w:line="269" w:lineRule="auto"/>
      </w:pPr>
      <w:r>
        <w:rPr>
          <w:rFonts w:ascii="Aptos" w:hAnsi="Aptos"/>
          <w:b w:val="0"/>
          <w:sz w:val="20"/>
        </w:rPr>
        <w:t>The code is not the entire release story. Current project records still call for deployed verification of rate-limit per-IP partitioning and Set-Cookie forwarding, plus browser proof for the LockManager refresh path and visual coverage for responsive navigation and global control styling. Keep these as explicit verification items rather than silently assuming that unit tests prove them.</w:t>
      </w:r>
    </w:p>
    <w:p>
      <w:r>
        <w:br w:type="page"/>
      </w:r>
    </w:p>
    <w:p>
      <w:pPr>
        <w:pStyle w:val="Heading1"/>
        <w:keepNext/>
        <w:spacing w:before="280" w:after="120"/>
      </w:pPr>
      <w:r>
        <w:rPr>
          <w:rFonts w:ascii="Aptos" w:hAnsi="Aptos"/>
          <w:b/>
          <w:color w:val="000000"/>
          <w:sz w:val="32"/>
        </w:rPr>
        <w:t>How to make a safe change</w:t>
      </w:r>
    </w:p>
    <w:tbl>
      <w:tblPr>
        <w:tblW w:type="auto" w:w="0"/>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cantSplit/>
        </w:trPr>
        <w:tc>
          <w:tcPr>
            <w:tcW w:type="dxa" w:w="648"/>
            <w:tcMar>
              <w:top w:w="75" w:type="dxa"/>
              <w:start w:w="105" w:type="dxa"/>
              <w:bottom w:w="75" w:type="dxa"/>
              <w:end w:w="105" w:type="dxa"/>
            </w:tcMar>
            <w:vAlign w:val="center"/>
            <w:shd w:fill="17365D"/>
          </w:tcPr>
          <w:p>
            <w:pPr>
              <w:jc w:val="center"/>
            </w:pPr>
            <w:r>
              <w:rPr>
                <w:rFonts w:ascii="Aptos" w:hAnsi="Aptos"/>
                <w:b/>
                <w:color w:val="FFFFFF"/>
                <w:sz w:val="22"/>
              </w:rPr>
              <w:t>1</w:t>
            </w:r>
          </w:p>
        </w:tc>
        <w:tc>
          <w:tcPr>
            <w:tcW w:type="dxa" w:w="2448"/>
            <w:tcMar>
              <w:top w:w="75" w:type="dxa"/>
              <w:start w:w="105" w:type="dxa"/>
              <w:bottom w:w="75" w:type="dxa"/>
              <w:end w:w="105" w:type="dxa"/>
            </w:tcMar>
            <w:vAlign w:val="center"/>
          </w:tcPr>
          <w:p>
            <w:r>
              <w:rPr>
                <w:rFonts w:ascii="Aptos" w:hAnsi="Aptos"/>
                <w:b/>
                <w:sz w:val="18"/>
              </w:rPr>
              <w:t>Read before editing</w:t>
            </w:r>
          </w:p>
        </w:tc>
        <w:tc>
          <w:tcPr>
            <w:tcW w:type="dxa" w:w="6696"/>
            <w:tcMar>
              <w:top w:w="75" w:type="dxa"/>
              <w:start w:w="105" w:type="dxa"/>
              <w:bottom w:w="75" w:type="dxa"/>
              <w:end w:w="105" w:type="dxa"/>
            </w:tcMar>
            <w:vAlign w:val="center"/>
          </w:tcPr>
          <w:p>
            <w:r>
              <w:rPr>
                <w:rFonts w:ascii="Aptos" w:hAnsi="Aptos"/>
                <w:b w:val="0"/>
                <w:sz w:val="18"/>
              </w:rPr>
              <w:t>Find the relevant screen requirement, domain rule, contract and tests. Record open questions instead of resolving a product decision yourself.</w:t>
            </w:r>
          </w:p>
        </w:tc>
      </w:tr>
      <w:tr>
        <w:trPr>
          <w:cantSplit/>
        </w:trPr>
        <w:tc>
          <w:tcPr>
            <w:tcW w:type="dxa" w:w="648"/>
            <w:tcMar>
              <w:top w:w="75" w:type="dxa"/>
              <w:start w:w="105" w:type="dxa"/>
              <w:bottom w:w="75" w:type="dxa"/>
              <w:end w:w="105" w:type="dxa"/>
            </w:tcMar>
            <w:vAlign w:val="center"/>
            <w:shd w:fill="17365D"/>
          </w:tcPr>
          <w:p>
            <w:pPr>
              <w:jc w:val="center"/>
            </w:pPr>
            <w:r>
              <w:rPr>
                <w:rFonts w:ascii="Aptos" w:hAnsi="Aptos"/>
                <w:b/>
                <w:color w:val="FFFFFF"/>
                <w:sz w:val="22"/>
              </w:rPr>
              <w:t>2</w:t>
            </w:r>
          </w:p>
        </w:tc>
        <w:tc>
          <w:tcPr>
            <w:tcW w:type="dxa" w:w="2448"/>
            <w:tcMar>
              <w:top w:w="75" w:type="dxa"/>
              <w:start w:w="105" w:type="dxa"/>
              <w:bottom w:w="75" w:type="dxa"/>
              <w:end w:w="105" w:type="dxa"/>
            </w:tcMar>
            <w:vAlign w:val="center"/>
          </w:tcPr>
          <w:p>
            <w:r>
              <w:rPr>
                <w:rFonts w:ascii="Aptos" w:hAnsi="Aptos"/>
                <w:b/>
                <w:sz w:val="18"/>
              </w:rPr>
              <w:t>Trace the boundary</w:t>
            </w:r>
          </w:p>
        </w:tc>
        <w:tc>
          <w:tcPr>
            <w:tcW w:type="dxa" w:w="6696"/>
            <w:tcMar>
              <w:top w:w="75" w:type="dxa"/>
              <w:start w:w="105" w:type="dxa"/>
              <w:bottom w:w="75" w:type="dxa"/>
              <w:end w:w="105" w:type="dxa"/>
            </w:tcMar>
            <w:vAlign w:val="center"/>
          </w:tcPr>
          <w:p>
            <w:r>
              <w:rPr>
                <w:rFonts w:ascii="Aptos" w:hAnsi="Aptos"/>
                <w:b w:val="0"/>
                <w:sz w:val="18"/>
              </w:rPr>
              <w:t>Identify the feature hook, API operation, response shape, query keys, role scope, print/export path and matching server contract.</w:t>
            </w:r>
          </w:p>
        </w:tc>
      </w:tr>
      <w:tr>
        <w:trPr>
          <w:cantSplit/>
        </w:trPr>
        <w:tc>
          <w:tcPr>
            <w:tcW w:type="dxa" w:w="648"/>
            <w:tcMar>
              <w:top w:w="75" w:type="dxa"/>
              <w:start w:w="105" w:type="dxa"/>
              <w:bottom w:w="75" w:type="dxa"/>
              <w:end w:w="105" w:type="dxa"/>
            </w:tcMar>
            <w:vAlign w:val="center"/>
            <w:shd w:fill="17365D"/>
          </w:tcPr>
          <w:p>
            <w:pPr>
              <w:jc w:val="center"/>
            </w:pPr>
            <w:r>
              <w:rPr>
                <w:rFonts w:ascii="Aptos" w:hAnsi="Aptos"/>
                <w:b/>
                <w:color w:val="FFFFFF"/>
                <w:sz w:val="22"/>
              </w:rPr>
              <w:t>3</w:t>
            </w:r>
          </w:p>
        </w:tc>
        <w:tc>
          <w:tcPr>
            <w:tcW w:type="dxa" w:w="2448"/>
            <w:tcMar>
              <w:top w:w="75" w:type="dxa"/>
              <w:start w:w="105" w:type="dxa"/>
              <w:bottom w:w="75" w:type="dxa"/>
              <w:end w:w="105" w:type="dxa"/>
            </w:tcMar>
            <w:vAlign w:val="center"/>
          </w:tcPr>
          <w:p>
            <w:r>
              <w:rPr>
                <w:rFonts w:ascii="Aptos" w:hAnsi="Aptos"/>
                <w:b/>
                <w:sz w:val="18"/>
              </w:rPr>
              <w:t>Change the smallest correct layer</w:t>
            </w:r>
          </w:p>
        </w:tc>
        <w:tc>
          <w:tcPr>
            <w:tcW w:type="dxa" w:w="6696"/>
            <w:tcMar>
              <w:top w:w="75" w:type="dxa"/>
              <w:start w:w="105" w:type="dxa"/>
              <w:bottom w:w="75" w:type="dxa"/>
              <w:end w:w="105" w:type="dxa"/>
            </w:tcMar>
            <w:vAlign w:val="center"/>
          </w:tcPr>
          <w:p>
            <w:r>
              <w:rPr>
                <w:rFonts w:ascii="Aptos" w:hAnsi="Aptos"/>
                <w:b w:val="0"/>
                <w:sz w:val="18"/>
              </w:rPr>
              <w:t>Keep pure logic pure, components fetching through hooks, and domain decisions in the server specifications. Preserve unrelated dirty worktree changes.</w:t>
            </w:r>
          </w:p>
        </w:tc>
      </w:tr>
      <w:tr>
        <w:trPr>
          <w:cantSplit/>
        </w:trPr>
        <w:tc>
          <w:tcPr>
            <w:tcW w:type="dxa" w:w="648"/>
            <w:tcMar>
              <w:top w:w="75" w:type="dxa"/>
              <w:start w:w="105" w:type="dxa"/>
              <w:bottom w:w="75" w:type="dxa"/>
              <w:end w:w="105" w:type="dxa"/>
            </w:tcMar>
            <w:vAlign w:val="center"/>
            <w:shd w:fill="17365D"/>
          </w:tcPr>
          <w:p>
            <w:pPr>
              <w:jc w:val="center"/>
            </w:pPr>
            <w:r>
              <w:rPr>
                <w:rFonts w:ascii="Aptos" w:hAnsi="Aptos"/>
                <w:b/>
                <w:color w:val="FFFFFF"/>
                <w:sz w:val="22"/>
              </w:rPr>
              <w:t>4</w:t>
            </w:r>
          </w:p>
        </w:tc>
        <w:tc>
          <w:tcPr>
            <w:tcW w:type="dxa" w:w="2448"/>
            <w:tcMar>
              <w:top w:w="75" w:type="dxa"/>
              <w:start w:w="105" w:type="dxa"/>
              <w:bottom w:w="75" w:type="dxa"/>
              <w:end w:w="105" w:type="dxa"/>
            </w:tcMar>
            <w:vAlign w:val="center"/>
          </w:tcPr>
          <w:p>
            <w:r>
              <w:rPr>
                <w:rFonts w:ascii="Aptos" w:hAnsi="Aptos"/>
                <w:b/>
                <w:sz w:val="18"/>
              </w:rPr>
              <w:t>Prove the behaviour</w:t>
            </w:r>
          </w:p>
        </w:tc>
        <w:tc>
          <w:tcPr>
            <w:tcW w:type="dxa" w:w="6696"/>
            <w:tcMar>
              <w:top w:w="75" w:type="dxa"/>
              <w:start w:w="105" w:type="dxa"/>
              <w:bottom w:w="75" w:type="dxa"/>
              <w:end w:w="105" w:type="dxa"/>
            </w:tcMar>
            <w:vAlign w:val="center"/>
          </w:tcPr>
          <w:p>
            <w:r>
              <w:rPr>
                <w:rFonts w:ascii="Aptos" w:hAnsi="Aptos"/>
                <w:b w:val="0"/>
                <w:sz w:val="18"/>
              </w:rPr>
              <w:t>Add a user-facing behavioural test. Run focused tests while working, then npm run check. Render/inspect print changes and verify narrow data responses.</w:t>
            </w:r>
          </w:p>
        </w:tc>
      </w:tr>
      <w:tr>
        <w:trPr>
          <w:cantSplit/>
        </w:trPr>
        <w:tc>
          <w:tcPr>
            <w:tcW w:type="dxa" w:w="648"/>
            <w:tcMar>
              <w:top w:w="75" w:type="dxa"/>
              <w:start w:w="105" w:type="dxa"/>
              <w:bottom w:w="75" w:type="dxa"/>
              <w:end w:w="105" w:type="dxa"/>
            </w:tcMar>
            <w:vAlign w:val="center"/>
            <w:shd w:fill="17365D"/>
          </w:tcPr>
          <w:p>
            <w:pPr>
              <w:jc w:val="center"/>
            </w:pPr>
            <w:r>
              <w:rPr>
                <w:rFonts w:ascii="Aptos" w:hAnsi="Aptos"/>
                <w:b/>
                <w:color w:val="FFFFFF"/>
                <w:sz w:val="22"/>
              </w:rPr>
              <w:t>5</w:t>
            </w:r>
          </w:p>
        </w:tc>
        <w:tc>
          <w:tcPr>
            <w:tcW w:type="dxa" w:w="2448"/>
            <w:tcMar>
              <w:top w:w="75" w:type="dxa"/>
              <w:start w:w="105" w:type="dxa"/>
              <w:bottom w:w="75" w:type="dxa"/>
              <w:end w:w="105" w:type="dxa"/>
            </w:tcMar>
            <w:vAlign w:val="center"/>
          </w:tcPr>
          <w:p>
            <w:r>
              <w:rPr>
                <w:rFonts w:ascii="Aptos" w:hAnsi="Aptos"/>
                <w:b/>
                <w:sz w:val="18"/>
              </w:rPr>
              <w:t>Review the release path</w:t>
            </w:r>
          </w:p>
        </w:tc>
        <w:tc>
          <w:tcPr>
            <w:tcW w:type="dxa" w:w="6696"/>
            <w:tcMar>
              <w:top w:w="75" w:type="dxa"/>
              <w:start w:w="105" w:type="dxa"/>
              <w:bottom w:w="75" w:type="dxa"/>
              <w:end w:w="105" w:type="dxa"/>
            </w:tcMar>
            <w:vAlign w:val="center"/>
          </w:tcPr>
          <w:p>
            <w:r>
              <w:rPr>
                <w:rFonts w:ascii="Aptos" w:hAnsi="Aptos"/>
                <w:b w:val="0"/>
                <w:sz w:val="18"/>
              </w:rPr>
              <w:t>For configuration or deployment work, check the intended Cloudflare account, resource, form release, spreadsheet and deployed version rather than treating a successful build as proof.</w:t>
            </w:r>
          </w:p>
        </w:tc>
      </w:tr>
    </w:tbl>
    <w:p>
      <w:pPr>
        <w:pStyle w:val="Heading1"/>
        <w:keepNext/>
        <w:spacing w:before="280" w:after="120"/>
      </w:pPr>
      <w:r>
        <w:rPr>
          <w:rFonts w:ascii="Aptos" w:hAnsi="Aptos"/>
          <w:b/>
          <w:color w:val="000000"/>
          <w:sz w:val="32"/>
        </w:rPr>
        <w:t>Useful source map</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2952"/>
            <w:shd w:fill="17365D"/>
            <w:tcMar>
              <w:top w:w="75" w:type="dxa"/>
              <w:start w:w="110" w:type="dxa"/>
              <w:bottom w:w="75" w:type="dxa"/>
              <w:end w:w="110" w:type="dxa"/>
            </w:tcMar>
            <w:vAlign w:val="center"/>
          </w:tcPr>
          <w:p>
            <w:r>
              <w:rPr>
                <w:rFonts w:ascii="Aptos" w:hAnsi="Aptos"/>
                <w:b/>
                <w:color w:val="FFFFFF"/>
                <w:sz w:val="18"/>
              </w:rPr>
              <w:t>Topic</w:t>
            </w:r>
          </w:p>
        </w:tc>
        <w:tc>
          <w:tcPr>
            <w:tcW w:type="dxa" w:w="3384"/>
            <w:shd w:fill="17365D"/>
            <w:tcMar>
              <w:top w:w="75" w:type="dxa"/>
              <w:start w:w="110" w:type="dxa"/>
              <w:bottom w:w="75" w:type="dxa"/>
              <w:end w:w="110" w:type="dxa"/>
            </w:tcMar>
            <w:vAlign w:val="center"/>
          </w:tcPr>
          <w:p>
            <w:r>
              <w:rPr>
                <w:rFonts w:ascii="Aptos" w:hAnsi="Aptos"/>
                <w:b/>
                <w:color w:val="FFFFFF"/>
                <w:sz w:val="18"/>
              </w:rPr>
              <w:t>Read first</w:t>
            </w:r>
          </w:p>
        </w:tc>
        <w:tc>
          <w:tcPr>
            <w:tcW w:type="dxa" w:w="3456"/>
            <w:shd w:fill="17365D"/>
            <w:tcMar>
              <w:top w:w="75" w:type="dxa"/>
              <w:start w:w="110" w:type="dxa"/>
              <w:bottom w:w="75" w:type="dxa"/>
              <w:end w:w="110" w:type="dxa"/>
            </w:tcMar>
            <w:vAlign w:val="center"/>
          </w:tcPr>
          <w:p>
            <w:r>
              <w:rPr>
                <w:rFonts w:ascii="Aptos" w:hAnsi="Aptos"/>
                <w:b/>
                <w:color w:val="FFFFFF"/>
                <w:sz w:val="18"/>
              </w:rPr>
              <w:t>Then use for detail</w:t>
            </w:r>
          </w:p>
        </w:tc>
      </w:tr>
      <w:tr>
        <w:trPr>
          <w:cantSplit/>
        </w:trPr>
        <w:tc>
          <w:tcPr>
            <w:tcW w:type="dxa" w:w="2952"/>
            <w:tcMar>
              <w:top w:w="75" w:type="dxa"/>
              <w:start w:w="110" w:type="dxa"/>
              <w:bottom w:w="75" w:type="dxa"/>
              <w:end w:w="110" w:type="dxa"/>
            </w:tcMar>
            <w:vAlign w:val="center"/>
          </w:tcPr>
          <w:p>
            <w:pPr>
              <w:spacing w:after="0" w:line="250" w:lineRule="auto"/>
            </w:pPr>
            <w:r>
              <w:rPr>
                <w:rFonts w:ascii="Aptos" w:hAnsi="Aptos"/>
                <w:b w:val="0"/>
                <w:sz w:val="17"/>
              </w:rPr>
              <w:t>Client screen behaviour</w:t>
            </w:r>
          </w:p>
        </w:tc>
        <w:tc>
          <w:tcPr>
            <w:tcW w:type="dxa" w:w="3384"/>
            <w:tcMar>
              <w:top w:w="75" w:type="dxa"/>
              <w:start w:w="110" w:type="dxa"/>
              <w:bottom w:w="75" w:type="dxa"/>
              <w:end w:w="110" w:type="dxa"/>
            </w:tcMar>
            <w:vAlign w:val="center"/>
          </w:tcPr>
          <w:p>
            <w:pPr>
              <w:spacing w:after="0" w:line="250" w:lineRule="auto"/>
            </w:pPr>
            <w:r>
              <w:rPr>
                <w:rFonts w:ascii="Aptos" w:hAnsi="Aptos"/>
                <w:b w:val="0"/>
                <w:sz w:val="17"/>
              </w:rPr>
              <w:t>screenDetails.md</w:t>
            </w:r>
          </w:p>
        </w:tc>
        <w:tc>
          <w:tcPr>
            <w:tcW w:type="dxa" w:w="3456"/>
            <w:tcMar>
              <w:top w:w="75" w:type="dxa"/>
              <w:start w:w="110" w:type="dxa"/>
              <w:bottom w:w="75" w:type="dxa"/>
              <w:end w:w="110" w:type="dxa"/>
            </w:tcMar>
            <w:vAlign w:val="center"/>
          </w:tcPr>
          <w:p>
            <w:pPr>
              <w:spacing w:after="0" w:line="250" w:lineRule="auto"/>
            </w:pPr>
            <w:r>
              <w:rPr>
                <w:rFonts w:ascii="Aptos" w:hAnsi="Aptos"/>
                <w:b w:val="0"/>
                <w:sz w:val="17"/>
              </w:rPr>
              <w:t>Relevant feature components and behavioural tests</w:t>
            </w:r>
          </w:p>
        </w:tc>
      </w:tr>
      <w:tr>
        <w:trPr>
          <w:cantSplit/>
        </w:trPr>
        <w:tc>
          <w:tcPr>
            <w:tcW w:type="dxa" w:w="2952"/>
            <w:tcMar>
              <w:top w:w="75" w:type="dxa"/>
              <w:start w:w="110" w:type="dxa"/>
              <w:bottom w:w="75" w:type="dxa"/>
              <w:end w:w="110" w:type="dxa"/>
            </w:tcMar>
            <w:vAlign w:val="center"/>
            <w:shd w:fill="F5F7F8"/>
          </w:tcPr>
          <w:p>
            <w:pPr>
              <w:spacing w:after="0" w:line="250" w:lineRule="auto"/>
            </w:pPr>
            <w:r>
              <w:rPr>
                <w:rFonts w:ascii="Aptos" w:hAnsi="Aptos"/>
                <w:b w:val="0"/>
                <w:sz w:val="17"/>
              </w:rPr>
              <w:t>Shared domain and privacy rules</w:t>
            </w:r>
          </w:p>
        </w:tc>
        <w:tc>
          <w:tcPr>
            <w:tcW w:type="dxa" w:w="3384"/>
            <w:tcMar>
              <w:top w:w="75" w:type="dxa"/>
              <w:start w:w="110" w:type="dxa"/>
              <w:bottom w:w="75" w:type="dxa"/>
              <w:end w:w="110" w:type="dxa"/>
            </w:tcMar>
            <w:vAlign w:val="center"/>
            <w:shd w:fill="F5F7F8"/>
          </w:tcPr>
          <w:p>
            <w:pPr>
              <w:spacing w:after="0" w:line="250" w:lineRule="auto"/>
            </w:pPr>
            <w:r>
              <w:rPr>
                <w:rFonts w:ascii="Aptos" w:hAnsi="Aptos"/>
                <w:b w:val="0"/>
                <w:sz w:val="17"/>
              </w:rPr>
              <w:t>../foodbankserver/INITIAL_SPEC1.txt</w:t>
            </w:r>
          </w:p>
        </w:tc>
        <w:tc>
          <w:tcPr>
            <w:tcW w:type="dxa" w:w="3456"/>
            <w:tcMar>
              <w:top w:w="75" w:type="dxa"/>
              <w:start w:w="110" w:type="dxa"/>
              <w:bottom w:w="75" w:type="dxa"/>
              <w:end w:w="110" w:type="dxa"/>
            </w:tcMar>
            <w:vAlign w:val="center"/>
            <w:shd w:fill="F5F7F8"/>
          </w:tcPr>
          <w:p>
            <w:pPr>
              <w:spacing w:after="0" w:line="250" w:lineRule="auto"/>
            </w:pPr>
            <w:r>
              <w:rPr>
                <w:rFonts w:ascii="Aptos" w:hAnsi="Aptos"/>
                <w:b w:val="0"/>
                <w:sz w:val="17"/>
              </w:rPr>
              <w:t>../foodbankserver/API.md and openapi.yaml</w:t>
            </w:r>
          </w:p>
        </w:tc>
      </w:tr>
      <w:tr>
        <w:trPr>
          <w:cantSplit/>
        </w:trPr>
        <w:tc>
          <w:tcPr>
            <w:tcW w:type="dxa" w:w="2952"/>
            <w:tcMar>
              <w:top w:w="75" w:type="dxa"/>
              <w:start w:w="110" w:type="dxa"/>
              <w:bottom w:w="75" w:type="dxa"/>
              <w:end w:w="110" w:type="dxa"/>
            </w:tcMar>
            <w:vAlign w:val="center"/>
          </w:tcPr>
          <w:p>
            <w:pPr>
              <w:spacing w:after="0" w:line="250" w:lineRule="auto"/>
            </w:pPr>
            <w:r>
              <w:rPr>
                <w:rFonts w:ascii="Aptos" w:hAnsi="Aptos"/>
                <w:b w:val="0"/>
                <w:sz w:val="17"/>
              </w:rPr>
              <w:t>Architecture and code layout</w:t>
            </w:r>
          </w:p>
        </w:tc>
        <w:tc>
          <w:tcPr>
            <w:tcW w:type="dxa" w:w="3384"/>
            <w:tcMar>
              <w:top w:w="75" w:type="dxa"/>
              <w:start w:w="110" w:type="dxa"/>
              <w:bottom w:w="75" w:type="dxa"/>
              <w:end w:w="110" w:type="dxa"/>
            </w:tcMar>
            <w:vAlign w:val="center"/>
          </w:tcPr>
          <w:p>
            <w:pPr>
              <w:spacing w:after="0" w:line="250" w:lineRule="auto"/>
            </w:pPr>
            <w:r>
              <w:rPr>
                <w:rFonts w:ascii="Aptos" w:hAnsi="Aptos"/>
                <w:b w:val="0"/>
                <w:sz w:val="17"/>
              </w:rPr>
              <w:t>CLAUDE.md</w:t>
            </w:r>
          </w:p>
        </w:tc>
        <w:tc>
          <w:tcPr>
            <w:tcW w:type="dxa" w:w="3456"/>
            <w:tcMar>
              <w:top w:w="75" w:type="dxa"/>
              <w:start w:w="110" w:type="dxa"/>
              <w:bottom w:w="75" w:type="dxa"/>
              <w:end w:w="110" w:type="dxa"/>
            </w:tcMar>
            <w:vAlign w:val="center"/>
          </w:tcPr>
          <w:p>
            <w:pPr>
              <w:spacing w:after="0" w:line="250" w:lineRule="auto"/>
            </w:pPr>
            <w:r>
              <w:rPr>
                <w:rFonts w:ascii="Aptos" w:hAnsi="Aptos"/>
                <w:b w:val="0"/>
                <w:sz w:val="17"/>
              </w:rPr>
              <w:t>docs/architecture and docs/engineering</w:t>
            </w:r>
          </w:p>
        </w:tc>
      </w:tr>
      <w:tr>
        <w:trPr>
          <w:cantSplit/>
        </w:trPr>
        <w:tc>
          <w:tcPr>
            <w:tcW w:type="dxa" w:w="2952"/>
            <w:tcMar>
              <w:top w:w="75" w:type="dxa"/>
              <w:start w:w="110" w:type="dxa"/>
              <w:bottom w:w="75" w:type="dxa"/>
              <w:end w:w="110" w:type="dxa"/>
            </w:tcMar>
            <w:vAlign w:val="center"/>
            <w:shd w:fill="F5F7F8"/>
          </w:tcPr>
          <w:p>
            <w:pPr>
              <w:spacing w:after="0" w:line="250" w:lineRule="auto"/>
            </w:pPr>
            <w:r>
              <w:rPr>
                <w:rFonts w:ascii="Aptos" w:hAnsi="Aptos"/>
                <w:b w:val="0"/>
                <w:sz w:val="17"/>
              </w:rPr>
              <w:t>Current implementation state</w:t>
            </w:r>
          </w:p>
        </w:tc>
        <w:tc>
          <w:tcPr>
            <w:tcW w:type="dxa" w:w="3384"/>
            <w:tcMar>
              <w:top w:w="75" w:type="dxa"/>
              <w:start w:w="110" w:type="dxa"/>
              <w:bottom w:w="75" w:type="dxa"/>
              <w:end w:w="110" w:type="dxa"/>
            </w:tcMar>
            <w:vAlign w:val="center"/>
            <w:shd w:fill="F5F7F8"/>
          </w:tcPr>
          <w:p>
            <w:pPr>
              <w:spacing w:after="0" w:line="250" w:lineRule="auto"/>
            </w:pPr>
            <w:r>
              <w:rPr>
                <w:rFonts w:ascii="Aptos" w:hAnsi="Aptos"/>
                <w:b w:val="0"/>
                <w:sz w:val="17"/>
              </w:rPr>
              <w:t>STATUS.md</w:t>
            </w:r>
          </w:p>
        </w:tc>
        <w:tc>
          <w:tcPr>
            <w:tcW w:type="dxa" w:w="3456"/>
            <w:tcMar>
              <w:top w:w="75" w:type="dxa"/>
              <w:start w:w="110" w:type="dxa"/>
              <w:bottom w:w="75" w:type="dxa"/>
              <w:end w:w="110" w:type="dxa"/>
            </w:tcMar>
            <w:vAlign w:val="center"/>
            <w:shd w:fill="F5F7F8"/>
          </w:tcPr>
          <w:p>
            <w:pPr>
              <w:spacing w:after="0" w:line="250" w:lineRule="auto"/>
            </w:pPr>
            <w:r>
              <w:rPr>
                <w:rFonts w:ascii="Aptos" w:hAnsi="Aptos"/>
                <w:b w:val="0"/>
                <w:sz w:val="17"/>
              </w:rPr>
              <w:t>KNOWN-GAPS.md and DEFERRED-WORK.md</w:t>
            </w:r>
          </w:p>
        </w:tc>
      </w:tr>
      <w:tr>
        <w:trPr>
          <w:cantSplit/>
        </w:trPr>
        <w:tc>
          <w:tcPr>
            <w:tcW w:type="dxa" w:w="2952"/>
            <w:tcMar>
              <w:top w:w="75" w:type="dxa"/>
              <w:start w:w="110" w:type="dxa"/>
              <w:bottom w:w="75" w:type="dxa"/>
              <w:end w:w="110" w:type="dxa"/>
            </w:tcMar>
            <w:vAlign w:val="center"/>
          </w:tcPr>
          <w:p>
            <w:pPr>
              <w:spacing w:after="0" w:line="250" w:lineRule="auto"/>
            </w:pPr>
            <w:r>
              <w:rPr>
                <w:rFonts w:ascii="Aptos" w:hAnsi="Aptos"/>
                <w:b w:val="0"/>
                <w:sz w:val="17"/>
              </w:rPr>
              <w:t>Release and live operations</w:t>
            </w:r>
          </w:p>
        </w:tc>
        <w:tc>
          <w:tcPr>
            <w:tcW w:type="dxa" w:w="3384"/>
            <w:tcMar>
              <w:top w:w="75" w:type="dxa"/>
              <w:start w:w="110" w:type="dxa"/>
              <w:bottom w:w="75" w:type="dxa"/>
              <w:end w:w="110" w:type="dxa"/>
            </w:tcMar>
            <w:vAlign w:val="center"/>
          </w:tcPr>
          <w:p>
            <w:pPr>
              <w:spacing w:after="0" w:line="250" w:lineRule="auto"/>
            </w:pPr>
            <w:r>
              <w:rPr>
                <w:rFonts w:ascii="Aptos" w:hAnsi="Aptos"/>
                <w:b w:val="0"/>
                <w:sz w:val="17"/>
              </w:rPr>
              <w:t>README.md</w:t>
            </w:r>
          </w:p>
        </w:tc>
        <w:tc>
          <w:tcPr>
            <w:tcW w:type="dxa" w:w="3456"/>
            <w:tcMar>
              <w:top w:w="75" w:type="dxa"/>
              <w:start w:w="110" w:type="dxa"/>
              <w:bottom w:w="75" w:type="dxa"/>
              <w:end w:w="110" w:type="dxa"/>
            </w:tcMar>
            <w:vAlign w:val="center"/>
          </w:tcPr>
          <w:p>
            <w:pPr>
              <w:spacing w:after="0" w:line="250" w:lineRule="auto"/>
            </w:pPr>
            <w:r>
              <w:rPr>
                <w:rFonts w:ascii="Aptos" w:hAnsi="Aptos"/>
                <w:b w:val="0"/>
                <w:sz w:val="17"/>
              </w:rPr>
              <w:t>docs/operations/deploy-verification.md</w:t>
            </w:r>
          </w:p>
        </w:tc>
      </w:tr>
    </w:tbl>
    <w:p>
      <w:pPr>
        <w:spacing w:after="40"/>
      </w:pPr>
    </w:p>
    <w:p>
      <w:pPr>
        <w:spacing w:after="0" w:before="160" w:line="269" w:lineRule="auto"/>
      </w:pPr>
      <w:r>
        <w:rPr>
          <w:rFonts w:ascii="Aptos" w:hAnsi="Aptos"/>
          <w:b/>
          <w:sz w:val="21"/>
        </w:rPr>
        <w:t xml:space="preserve">Final reminder. </w:t>
      </w:r>
      <w:r>
        <w:rPr>
          <w:rFonts w:ascii="Aptos" w:hAnsi="Aptos"/>
          <w:b w:val="0"/>
          <w:sz w:val="20"/>
        </w:rPr>
        <w:t>This system supports people in crisis. The fastest-looking implementation is not automatically the safest change. Preserve the reason for each boundary, especially when the code makes the boundary less visible than the screens do.</w:t>
      </w:r>
    </w:p>
    <w:sectPr w:rsidR="00FC693F" w:rsidRPr="0006063C" w:rsidSect="00034616">
      <w:footerReference w:type="default" r:id="rId9"/>
      <w:pgSz w:w="12240" w:h="15840"/>
      <w:pgMar w:top="979"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06060"/>
        <w:sz w:val="16"/>
      </w:rPr>
      <w:t>Foodbank Technical Handover Guide  |  Maintainer orientation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Foodbank Technical Handover Guide</dc:title>
  <dc:subject>Maintainer orientation</dc:subject>
  <dc:creator>Foodbank</dc:creator>
  <cp:keywords/>
  <dc:description>generated by python-docx</dc:description>
  <cp:lastModifiedBy/>
  <cp:revision>1</cp:revision>
  <dcterms:created xsi:type="dcterms:W3CDTF">2013-12-23T23:15:00Z</dcterms:created>
  <dcterms:modified xsi:type="dcterms:W3CDTF">2013-12-23T23:15:00Z</dcterms:modified>
  <cp:category/>
</cp:coreProperties>
</file>