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left"/>
      </w:pPr>
      <w:r>
        <w:rPr>
          <w:b/>
          <w:bCs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Sapient Wealth IFSC LLP — IFSCA Website Content Gap List</w:t>
      </w:r>
    </w:p>
    <w:p>
      <w:pPr>
        <w:spacing w:before="0"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Registered Fund Management Entity (Non-Retail) | IFSCA Reg. No. FDM2026FNR0966</w:t>
      </w:r>
    </w:p>
    <w:p>
      <w:pPr>
        <w:spacing w:before="0"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Source workbook: IFSCA_Website_Data_Collection_Filled-V1.xlsx</w:t>
      </w:r>
    </w:p>
    <w:p>
      <w:pPr>
        <w:spacing w:before="0" w:after="24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Reference: IFSCA Circular dated 26 August 2026 (File No. IFSCA-SOF/2/2026-Capital Markets), Non-Retail FME website requirements. Retail-scheme add-ons do not apply.</w:t>
      </w:r>
    </w:p>
    <w:p>
      <w:pPr>
        <w:spacing w:before="0" w:after="24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Purpose: Identify information required by the Circular that is blank, incomplete, or only present as an illustrative example in the workbook, and therefore not published on the IFSC webpage.</w:t>
      </w:r>
    </w:p>
    <w:p>
      <w:pPr>
        <w:spacing w:before="360" w:after="20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1. Scope</w:t>
      </w:r>
    </w:p>
    <w:p>
      <w:pPr>
        <w:spacing w:before="120" w:after="24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This document lists only missing or incomplete items. Fields already completed in the workbook and published on the website are summarised in Section 5 and are not repeated as action items.</w:t>
      </w:r>
    </w:p>
    <w:p>
      <w:pPr>
        <w:spacing w:before="120" w:after="24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Where a field is not applicable, the workbook instructions require the FME to write “Not Applicable” rather than leave the cell blank.</w:t>
      </w:r>
    </w:p>
    <w:p>
      <w:pPr>
        <w:spacing w:before="360" w:after="20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2. Critical gaps (block website completeness / Circular compliance)</w:t>
      </w:r>
    </w:p>
    <w:p>
      <w:pPr>
        <w:spacing w:before="120" w:after="24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These items are expressly required for a Non-Retail FME webpage and are currently unavailable from the workbook.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560"/>
      </w:tblGrid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pPr>
              <w:spacing w:before="60" w:after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Missing item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pPr>
              <w:spacing w:before="60" w:after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Workbook tab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pPr>
              <w:spacing w:before="60" w:after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What to provide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IFSCA registration disclaimer (Yes/No + text, or confirm standard circular disclaimer)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11. Disclaimer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Mandatory on website. Currently blank.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GRO – email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Email of Grievance Redressal Officer (Asutosh Routray).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GRO – telephone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Telephone of Grievance Redressal Officer.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Grievance redressal mechanism / procedure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Description of the grievance redressal mechanism.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Process for lodging a complaint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Process for investors to lodge a complaint.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Redressal timelines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Acknowledgement and resolution timelines (escalation text refers to timelines “specified below”).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Reporting quarter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e.g. Q2 FY2026-27.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Complaints received (this quarter)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Number; use 0 if none.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Complaints disposed (this quarter)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Number; use 0 if none.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Complaints pending (this quarter)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Number; use 0 if none.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Owner for quarterly grievance updates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7. Investor Grievance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Named person/team responsible for quarterly refresh.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Statutory / regulatory disclosure documents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9. Statutory Disclosures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Real documents only. Overwrite/remove illustrative Code of Conduct row. Provide name, type, frequency, owner, file reference/PDF.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Regulatory / enforcement actions – Applicable / Not Applicable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10. Regulatory Actions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Confirm in writing. If Applicable, complete the action table.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Funds for persons/IMs outside IFSC – Applicable / Not Applicable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5. Funds-Outside IFSC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Confirm in writing. If Applicable, complete scheme table including IFSCA registration numbers.</w:t>
            </w:r>
          </w:p>
        </w:tc>
      </w:tr>
    </w:tbl>
    <w:p>
      <w:pPr>
        <w:spacing w:before="200" w:after="0"/>
      </w:pPr>
    </w:p>
    <w:p>
      <w:pPr>
        <w:spacing w:before="360" w:after="20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3. Important gaps (required “where applicable” / contact completeness)</w:t>
      </w:r>
    </w:p>
    <w:p>
      <w:pPr>
        <w:spacing w:before="120" w:after="24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These items should be completed or expressly marked “Not Applicable” so the webpage does not omit required particulars by silence.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560"/>
      </w:tblGrid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pPr>
              <w:spacing w:before="60" w:after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Missing item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pPr>
              <w:spacing w:before="60" w:after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Workbook tab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pPr>
              <w:spacing w:before="60" w:after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What to provide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Correspondence address (if different)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2. Registered Office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Write “Not Applicable” or “Same as registered office” if unchanged; do not leave blank.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Portfolio management services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3. IFSC Activities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Describe PMS from IFSC, or write “Not Applicable”.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Any other IFSC-specific activities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3. IFSC Activities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Describe, or write “Not Applicable”.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Service provider – Address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6. Service Providers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For Custodian, Trustee, Fund Administrator, Statutory Auditor (and others as applicable).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Service provider – Contact person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6. Service Providers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Named contact for each provider, where available.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Service provider – Email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6. Service Providers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Official email for each provider.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Service provider – Telephone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6. Service Providers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Official telephone for each provider.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Other Key Managerial Personnel (IFSC)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8b. Other KMP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List real KMP, or delete Jane Doe illustrative row and confirm “None” / “Not Applicable”.</w:t>
            </w:r>
          </w:p>
        </w:tc>
      </w:tr>
    </w:tbl>
    <w:p>
      <w:pPr>
        <w:spacing w:before="200" w:after="0"/>
      </w:pPr>
    </w:p>
    <w:p>
      <w:pPr>
        <w:spacing w:before="360" w:after="20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4. Website standards and governance (build / maintenance inputs)</w:t>
      </w:r>
    </w:p>
    <w:p>
      <w:pPr>
        <w:spacing w:before="120" w:after="24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These items drive how information is maintained and presented. Several affect what must appear on the page (for example, Last Updated and downloadable disclosures).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560"/>
      </w:tblGrid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pPr>
              <w:spacing w:before="60" w:after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Missing item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pPr>
              <w:spacing w:before="60" w:after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Workbook tab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pPr>
              <w:spacing w:before="60" w:after="60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What to provide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Last updated date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12. Website Standards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Date to display as “Last Updated” on the webpage.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Downloadable disclosure files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9 / 12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PDFs (or other files) of policies and regulatory disclosures for website download.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Machine-readable disclosure data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12. Website Standards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Confirm whether JSON/CSV (or similar) should be published; provide content if yes.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Content governance owners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13. Content Governance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before="60" w:after="6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Times New Roman" w:cs="Times New Roman" w:eastAsia="Times New Roman" w:hAnsi="Times New Roman"/>
              </w:rPr>
              <w:t xml:space="preserve">Owners for general content, fund info, regulatory disclosures, grievance updates, KMP updates, document uploads, approval authority, and URL/IFSCA intimation contact.</w:t>
            </w:r>
          </w:p>
        </w:tc>
      </w:tr>
    </w:tbl>
    <w:p>
      <w:pPr>
        <w:spacing w:before="200" w:after="0"/>
      </w:pPr>
    </w:p>
    <w:p>
      <w:pPr>
        <w:spacing w:before="360" w:after="20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5. Already provided and published (for reference — no action)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Registered legal name, IFSCA registration number, category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Brief profile, IFSC activities description, parent/group entity details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Registered office address, telephone, official email, investor contact email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Fund management activities, fund types/categories, other permissible activities text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Both schemes (India Opportunities Fund and Global Opportunities Fund) with type, description, launch status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Service provider names (Custodian, Trustee, Fund Administrator, Auditor, Tax Advisors, Legal Advisor)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Principal Officer and Compliance Officer (name, designation, email, telephone)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Grievance escalation matrix text, escalation contacts, GRO name and designation</w:t>
      </w:r>
    </w:p>
    <w:p>
      <w:pPr>
        <w:spacing w:before="360" w:after="20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6. Illustrative examples excluded from the website</w:t>
      </w:r>
    </w:p>
    <w:p>
      <w:pPr>
        <w:spacing w:before="120" w:after="24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Per workbook instructions, grey italicised / sample rows are illustrative only and must be overwritten or deleted. The following were not published: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8b. Other KMP — “Jane Doe / Head - Risk Management / jane.doe@example.com”</w:t>
      </w:r>
    </w:p>
    <w:p>
      <w:pPr>
        <w:spacing w:before="60" w:after="60"/>
        <w:ind w:left="3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•  9. Statutory Disclosures — sample “Code of Conduct / ABC_CodeOfConduct_v2.pdf”</w:t>
      </w:r>
    </w:p>
    <w:p>
      <w:pPr>
        <w:spacing w:before="360" w:after="20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7. Requested return</w:t>
      </w:r>
    </w:p>
    <w:p>
      <w:pPr>
        <w:spacing w:before="120" w:after="24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Please return: (a) an updated workbook with all yellow input cells completed or marked “Not Applicable”; and (b) supporting disclosure files named consistently with the Document Reference column in tab 9. Priority order: Section 2, then Section 3, then Section 4.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000000"/>
        <w:sz w:val="16"/>
        <w:szCs w:val="16"/>
        <w:rFonts w:ascii="Times New Roman" w:cs="Times New Roman" w:eastAsia="Times New Roman" w:hAnsi="Times New Roman"/>
      </w:rPr>
      <w:t xml:space="preserve">Page </w:t>
    </w:r>
    <w:r>
      <w:rPr>
        <w:b w:val="false"/>
        <w:bCs w:val="false"/>
        <w:i w:val="false"/>
        <w:iCs w:val="false"/>
        <w:color w:val="000000"/>
        <w:sz w:val="16"/>
        <w:szCs w:val="16"/>
        <w:rFonts w:ascii="Times New Roman" w:cs="Times New Roman" w:eastAsia="Times New Roman" w:hAnsi="Times New Roman"/>
      </w:rPr>
      <w:t xml:space="preserve"/>
    </w:r>
  </w:p>
  <w:p>
    <w:pPr>
      <w:jc w:val="center"/>
    </w:pPr>
    <w:r>
      <w:rPr>
        <w:sz w:val="16"/>
        <w:szCs w:val="16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i w:val="false"/>
        <w:iCs w:val="false"/>
        <w:color w:val="000000"/>
        <w:sz w:val="16"/>
        <w:szCs w:val="16"/>
        <w:rFonts w:ascii="Times New Roman" w:cs="Times New Roman" w:eastAsia="Times New Roman" w:hAnsi="Times New Roman"/>
      </w:rPr>
      <w:t xml:space="preserve"> of </w:t>
    </w:r>
    <w:r>
      <w:rPr>
        <w:sz w:val="16"/>
        <w:szCs w:val="16"/>
        <w:rFonts w:ascii="Times New Roman" w:cs="Times New Roman" w:eastAsia="Times New Roman" w:hAnsi="Times New Roman"/>
      </w:rPr>
      <w:fldChar w:fldCharType="begin"/>
      <w:instrText xml:space="preserve">NUMPAGES</w:instrText>
      <w:fldChar w:fldCharType="separate"/>
      <w:fldChar w:fldCharType="end"/>
    </w:r>
  </w:p>
  <w:p>
    <w:pPr>
      <w:spacing w:before="60"/>
      <w:jc w:val="center"/>
    </w:pPr>
    <w:r>
      <w:rPr>
        <w:b w:val="false"/>
        <w:bCs w:val="false"/>
        <w:i/>
        <w:iCs/>
        <w:color w:val="000000"/>
        <w:sz w:val="14"/>
        <w:szCs w:val="14"/>
        <w:rFonts w:ascii="Times New Roman" w:cs="Times New Roman" w:eastAsia="Times New Roman" w:hAnsi="Times New Roman"/>
      </w:rPr>
      <w:t xml:space="preserve">Confidential — for discussion with Sapient Wealth. Not for further distribution without consent.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i/>
        <w:iCs/>
        <w:color w:val="000000"/>
        <w:sz w:val="16"/>
        <w:szCs w:val="16"/>
        <w:rFonts w:ascii="Times New Roman" w:cs="Times New Roman" w:eastAsia="Times New Roman" w:hAnsi="Times New Roman"/>
      </w:rPr>
      <w:t xml:space="preserve">Sapient Wealth IFSC LLP — IFSCA Website Content Gaps (Draft for Discussion)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2026-09-25T06:15:33.999Z</dcterms:created>
  <dcterms:modified xsi:type="dcterms:W3CDTF">2026-09-25T06:15:33.999Z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