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pPr>
        <w:pStyle w:val="PaperTitle"/>
        <w:jc w:val="left"/>
      </w:pPr>
      <w:r>
        <w:t>Crypto-Induced Latency Denial of Service (CIL-DoS) in IEC 61850 Smart Grid Substations: Mathematical Modeling, Hardware Scaling, and eBPF/XDP Mitigation</w:t>
      </w:r>
    </w:p>
    <w:p>
      <w:pPr>
        <w:pStyle w:val="AU"/>
        <w:jc w:val="left"/>
      </w:pPr>
      <w:r>
        <w:t>DR. SAPNA V. M.1, PRASAD B. H.1, AND PRAJWAL CHOWDARY M.1</w:t>
      </w:r>
    </w:p>
    <w:p>
      <w:pPr>
        <w:pStyle w:val="PINoSpace"/>
        <w:jc w:val="left"/>
      </w:pPr>
      <w:r>
        <w:t>1 Department of Computer Science and Engineering, PES University, Bengaluru, Karnataka 560085, India (e-mail: sapnavm@pes.edu)</w:t>
      </w:r>
    </w:p>
    <w:p>
      <w:pPr>
        <w:pStyle w:val="PI"/>
        <w:jc w:val="left"/>
      </w:pPr>
      <w:r>
        <w:t>Corresponding author: Dr. Sapna V. M. (e-mail: sapnavm@pes.edu).</w:t>
      </w:r>
    </w:p>
    <w:p>
      <w:pPr>
        <w:pStyle w:val="FootnoteText"/>
        <w:jc w:val="left"/>
      </w:pPr>
      <w:r>
        <w:t>This work was supported in part by PES University, Department of Computer Science and Engineering, Bengaluru, India.</w:t>
      </w:r>
    </w:p>
    <w:p>
      <w:pPr>
        <w:pStyle w:val="Abstract"/>
        <w:jc w:val="left"/>
      </w:pPr>
      <w:r>
        <w:rPr>
          <w:b/>
          <w:i w:val="0"/>
          <w:color w:val="0066CC"/>
        </w:rPr>
        <w:t xml:space="preserve">ABSTRACT </w:t>
      </w:r>
      <w:r>
        <w:rPr>
          <w:b w:val="0"/>
          <w:i w:val="0"/>
        </w:rPr>
        <w:t>The IEC 62351-6 standard specifies cryptographic authentication mechanisms to secure IEC 61850 Generic Object Oriented Substation Events (GOOSE) messages against spoofing and tampering. However, signature verification introduces non-negligible computational overhead on Intelligent Electronic Devices (IEDs). In this paper, we identify, formalize, and demonstrate a novel attack vector: Crypto-Induced Latency Denial of Service (CIL-DoS). In a CIL-DoS attack, an adversary floods the substation process bus with structurally valid but cryptographically invalid GOOSE frames. Because invalid frames require full cryptographic verification before rejection, the subscriber's verification queue saturates, delaying legitimate protection commands beyond the strict IEC 61850 Class P2/P3 hard real-time deadline of 3 ms. We formulate closed-form queueing models using M/M/1 and M/D/1 formulations to predict latency buildup and deadline violation probabilities. We conduct rigorous multi-trial empirical benchmarks (5 trials × 5,000 iterations, 95% confidence intervals) measuring verification latencies for HMAC-SHA256 (1.39 μs), RSA-2048 (33.69 μs), and ECDSA-P256 (62.35 μs). We project these results across five embedded hardware tiers (Intel Atom to ARM Cortex-M4), revealing that a Cortex-M4 relay saturates at just 98.68 packets/s, causing 100% protection failure. We validate our analytical models against a discrete-event software testbed (9.5%–11.6% error at high utilization ρ &gt; 0.9). Finally, we design a wire-speed eBPF/XDP defense mechanism that filters malicious frames at the NIC driver level (&lt;0.5 μs latency), neutralizing CIL-DoS attacks up to 100,000 packets/s.</w:t>
      </w:r>
    </w:p>
    <w:p>
      <w:pPr>
        <w:pStyle w:val="IT"/>
        <w:jc w:val="left"/>
      </w:pPr>
      <w:r>
        <w:rPr>
          <w:b/>
          <w:i w:val="0"/>
          <w:color w:val="0066CC"/>
        </w:rPr>
        <w:t xml:space="preserve">INDEX TERMS </w:t>
      </w:r>
      <w:r>
        <w:rPr>
          <w:b w:val="0"/>
          <w:i w:val="0"/>
        </w:rPr>
        <w:t>Substation Automation, IEC 61850, IEC 62351-6, Smart Grid Security, Denial of Service, Queueing Theory, eBPF, XDP, Real-Time Protection.</w:t>
      </w:r>
    </w:p>
    <w:p>
      <w:pPr>
        <w:pStyle w:val="H1ListSpace"/>
        <w:jc w:val="left"/>
      </w:pPr>
      <w:r>
        <w:t>I. INTRODUCTION</w:t>
      </w:r>
    </w:p>
    <w:p>
      <w:pPr>
        <w:pStyle w:val="PARA"/>
        <w:jc w:val="left"/>
      </w:pPr>
      <w:r>
        <w:t>Modern electrical power grids rely heavily on Substation Automation Systems (SAS) to maintain grid stability, isolate electrical faults, and prevent catastrophic blackout events. The International Electrotechnical Commission (IEC) 61850 standard defines the protocol architecture for digital substations, replacing legacy copper wiring with high-speed Ethernet-based communications on the process bus. Among the key protocols defined in IEC 61850, Generic Object Oriented Substation Events (GOOSE) messages carry time-critical status and trip commands between Intelligent Electronic Devices (IEDs) and circuit breakers.</w:t>
      </w:r>
    </w:p>
    <w:p>
      <w:pPr>
        <w:pStyle w:val="PARA"/>
        <w:jc w:val="left"/>
      </w:pPr>
      <w:r>
        <w:t>To ensure grid safety, IEC 61850 specifies stringent real-time performance requirements. For critical protection trip signals (Performance Class P2/P3), the maximum acceptable end-to-end transmission delay—from the occurrence of a fault to the actuation of a breaker—is strictly capped at 3 milliseconds (ms).</w:t>
      </w:r>
    </w:p>
    <w:p>
      <w:pPr>
        <w:pStyle w:val="PARA"/>
        <w:jc w:val="left"/>
      </w:pPr>
      <w:r>
        <w:t>Originally, GOOSE messages were transmitted unauthenticated in plaintext over Layer 2 Ethernet (EtherType 0x88B8), rendering them vulnerable to spoofing, replay attacks, and unauthorized trip injections. To address these critical vulnerabilities, the IEC introduced the IEC 62351-6 security standard. IEC 62351-6 mandates the inclusion of digital signatures (e.g., RSA-2048 or ECDSA-P256) or symmetric message authentication codes (e.g., HMAC-SHA256) inside an extended GOOSE protocol data unit (PDU) header.</w:t>
      </w:r>
    </w:p>
    <w:p>
      <w:pPr>
        <w:pStyle w:val="PARA"/>
        <w:jc w:val="left"/>
      </w:pPr>
      <w:r>
        <w:t>While IEC 62351-6 successfully prevents spoofing and tampering, it introduces a fundamental architectural trade-off: cryptographic signature verification is computationally expensive and serialized. Protection relays are resource-constrained embedded systems equipped with real-time processors (e.g., ARM Cortex-M or Cortex-R series). Every incoming GOOSE frame must undergo PDU parsing, sequence checking, and cryptographic signature verification before its payload can be evaluated by the protection logic.</w:t>
      </w:r>
    </w:p>
    <w:p>
      <w:pPr>
        <w:pStyle w:val="H2First"/>
        <w:jc w:val="left"/>
      </w:pPr>
      <w:r>
        <w:t>A. Research Problem &amp; Hypothesis</w:t>
      </w:r>
    </w:p>
    <w:p>
      <w:pPr>
        <w:pStyle w:val="PARA"/>
        <w:jc w:val="left"/>
      </w:pPr>
      <w:r>
        <w:t>This paper addresses a fundamental vulnerability arising from this trade-off. We hypothesize that the computational overhead of IEC 62351-6 cryptographic verification itself can be weaponized as a Denial of Service mechanism.</w:t>
      </w:r>
    </w:p>
    <w:p>
      <w:pPr>
        <w:pStyle w:val="PARA"/>
        <w:jc w:val="left"/>
      </w:pPr>
      <w:r>
        <w:t>We term this attack class Crypto-Induced Latency Denial of Service (CIL-DoS). An adversary with Layer 2 access to the substation process bus floods the network with syntactically valid GOOSE frames containing randomized or invalid cryptographic signatures. Because an invalid signature cannot be detected until the entire mathematical verification algorithm completes, the IED is forced to consume precious CPU cycles on every malicious packet. As a result, the IED's internal verification queue saturates, causing legitimate protection commands arriving behind the attack traffic to experience severe queueing delays. When the total end-to-end processing delay exceeds the 3 ms safety threshold, the protection system fails, leaving physical substation equipment unprotected during an electrical fault.</w:t>
      </w:r>
    </w:p>
    <w:p>
      <w:pPr>
        <w:pStyle w:val="H2First"/>
        <w:jc w:val="left"/>
      </w:pPr>
      <w:r>
        <w:t>B. Key Contributions</w:t>
      </w:r>
    </w:p>
    <w:p>
      <w:pPr>
        <w:pStyle w:val="PARA"/>
        <w:jc w:val="left"/>
      </w:pPr>
      <w:r>
        <w:t>The main contributions of this work are summarized as follows:</w:t>
        <w:br/>
        <w:t>1) CIL-DoS Vulnerability Formalization: We formalize the CIL-DoS attack model, demonstrating how asymmetric cryptographic verification costs propagate through queueing serialization to violate hard real-time protection deadlines without requiring valid keys.</w:t>
        <w:br/>
        <w:t>2) Analytical Queueing Models: We formulate closed-form mathematical equations based on M/M/1 and M/D/1 queueing theory to model verification queue buildup, expected queueing delay Wq, and the probability of deadline violation P(W &gt; 3 ms).</w:t>
        <w:br/>
        <w:t>3) Multi-Trial Empirical Benchmarks &amp; Hardware Scaling: We perform multi-trial empirical benchmarks (5 trials × 5,000 iterations) measuring verification latencies for HMAC-SHA256, RSA-2048, and ECDSA-P256 with 95% confidence intervals. We map these measurements to five embedded IED hardware tiers, showing that an ARM Cortex-M4 relay saturates at under 100 packets/s.</w:t>
        <w:br/>
        <w:t>4) Software Testbed Validation: We construct an open-source IEC 61850 software testbed (GridPulse) to simulate substation process bus traffic, validating our mathematical models against empirical discrete-event execution (9.5%–11.6% model error at high utilization ρ &gt; 0.9).</w:t>
        <w:br/>
        <w:t>5) Wire-Speed eBPF/XDP Defense: We design, implement, and evaluate an eBPF/XDP kernel-driver filtering mechanism that inspects GOOSE headers and rate-limits traffic in &lt;0.5 μs at the NIC level. We compare XDP against 7 conventional defense mechanisms.</w:t>
      </w:r>
    </w:p>
    <w:p>
      <w:pPr>
        <w:pStyle w:val="H1ListSpace"/>
        <w:jc w:val="left"/>
      </w:pPr>
      <w:r>
        <w:t>II. BACKGROUND AND RELATED WORK</w:t>
      </w:r>
    </w:p>
    <w:p>
      <w:pPr>
        <w:pStyle w:val="H2First"/>
        <w:jc w:val="left"/>
      </w:pPr>
      <w:r>
        <w:t>A. IEC 61850 GOOSE Protocol Architecture</w:t>
      </w:r>
    </w:p>
    <w:p>
      <w:pPr>
        <w:pStyle w:val="PARA"/>
        <w:jc w:val="left"/>
      </w:pPr>
      <w:r>
        <w:t>GOOSE is an Ethernet multicast protocol operating directly at Layer 2 of the OSI model (EtherType 0x88B8). Bypassing the Layer 3/4 IP and TCP/UDP protocol stacks eliminates network layer encapsulation overhead, allowing fast transmission across the substation process bus LAN.</w:t>
      </w:r>
    </w:p>
    <w:p>
      <w:pPr>
        <w:pStyle w:val="PARA"/>
        <w:jc w:val="left"/>
      </w:pPr>
      <w:r>
        <w:t>A GOOSE PDU is encoded using Abstract Syntax Notation One (ASN.1) with Basic Encoding Rules (BER). It contains critical operational attributes including gocbRef (GOOSE Control Block Reference), stNum (State Number, incremented on status changes), sqNum (Sequence Number, incremented on retransmissions), and allData (array of sensor values or trip signals).</w:t>
      </w:r>
    </w:p>
    <w:p>
      <w:pPr>
        <w:pStyle w:val="H2First"/>
        <w:jc w:val="left"/>
      </w:pPr>
      <w:r>
        <w:t>B. IEC 62351-6 Cryptographic Security Extensions</w:t>
      </w:r>
    </w:p>
    <w:p>
      <w:pPr>
        <w:pStyle w:val="PARA"/>
        <w:jc w:val="left"/>
      </w:pPr>
      <w:r>
        <w:t>To mitigate unauthorized frame injection, IEC 62351-6 defines security extensions appended to the GOOSE PDU. The standard specifies three primary cryptographic profiles: Symmetric Authentication (HMAC-SHA256), Asymmetric Authentication (RSA-2048), and Elliptic Curve Authentication (ECDSA-P256).</w:t>
      </w:r>
    </w:p>
    <w:p>
      <w:pPr>
        <w:pStyle w:val="H2First"/>
        <w:jc w:val="left"/>
      </w:pPr>
      <w:r>
        <w:t>C. Related Work</w:t>
      </w:r>
    </w:p>
    <w:p>
      <w:pPr>
        <w:pStyle w:val="PARA"/>
        <w:jc w:val="left"/>
      </w:pPr>
      <w:r>
        <w:t>Existing research in ICS and substation security has primarily focused on data manipulation, eavesdropping, and protocol-level spoofing. Schuster et al. evaluated GOOSE message spoofing and state manipulation. Yang et al. analyzed cyber-attack surfaces in digital substations. Hussain et al. developed intrusion detection systems (IDS) for GOOSE traffic using signature-based rules. Ali et al. measured digital signature latencies on substation hardware. Our work differs fundamentally from existing literature by examining the computational DoS side-effect of IEC 62351-6 authentication itself.</w:t>
      </w:r>
    </w:p>
    <w:p>
      <w:pPr>
        <w:pStyle w:val="H1ListSpace"/>
        <w:jc w:val="left"/>
      </w:pPr>
      <w:r>
        <w:t>III. THREAT MODEL AND ATTACK DYNAMICS</w:t>
      </w:r>
    </w:p>
    <w:p>
      <w:pPr>
        <w:pStyle w:val="H2First"/>
        <w:jc w:val="left"/>
      </w:pPr>
      <w:r>
        <w:t>A. System and Network Model</w:t>
      </w:r>
    </w:p>
    <w:p>
      <w:pPr>
        <w:pStyle w:val="PARA"/>
        <w:jc w:val="left"/>
      </w:pPr>
      <w:r>
        <w:t>We consider a standard IEC 61850 digital substation process bus. The process bus consists of a high-speed Layer 2 Ethernet switch connecting Publisher IEDs (Merging Units), Subscriber IEDs (Protection Relays), and an Attacker Node (compromised device on the process bus LAN).</w:t>
      </w:r>
    </w:p>
    <w:p>
      <w:pPr>
        <w:pStyle w:val="H2First"/>
        <w:jc w:val="left"/>
      </w:pPr>
      <w:r>
        <w:t>B. Attacker Capabilities and Assumptions</w:t>
      </w:r>
    </w:p>
    <w:p>
      <w:pPr>
        <w:pStyle w:val="PARA"/>
        <w:jc w:val="left"/>
      </w:pPr>
      <w:r>
        <w:t>We assume an adversary with Layer 2 Ethernet access, protocol knowledge of ASN.1 BER GOOSE structures, zero knowledge of valid cryptographic keys, and the capability to generate 1,000 to 100,000 packets per second (pps) from standard PC network interfaces.</w:t>
      </w:r>
    </w:p>
    <w:p>
      <w:pPr>
        <w:pStyle w:val="H2First"/>
        <w:jc w:val="left"/>
      </w:pPr>
      <w:r>
        <w:t>C. CIL-DoS Attack Mechanism</w:t>
      </w:r>
    </w:p>
    <w:p>
      <w:pPr>
        <w:pStyle w:val="PARA"/>
        <w:jc w:val="left"/>
      </w:pPr>
      <w:r>
        <w:t>The attacker floods invalid-but-parseable GOOSE frames onto the process bus. The subscriber relay hardware receives each packet and enqueues it. The relay CPU dequeues frames sequentially, parses the ASN.1 PDU (T_parse), and executes signature verification (T_verify). Because the signature is invalid, verification fails and the packet is discarded, but CPU time equal to T_verify is consumed. When a legitimate trip command arrives from a valid publisher, it queues behind the attack traffic, accumulating queue wait delay Wq.</w:t>
      </w:r>
    </w:p>
    <w:p>
      <w:pPr>
        <w:pStyle w:val="H1ListSpace"/>
        <w:jc w:val="left"/>
      </w:pPr>
      <w:r>
        <w:t>IV. MATHEMATICAL QUEUEING FRAMEWORK</w:t>
      </w:r>
    </w:p>
    <w:p>
      <w:pPr>
        <w:pStyle w:val="H2First"/>
        <w:jc w:val="left"/>
      </w:pPr>
      <w:r>
        <w:t>A. Notation and Definitions</w:t>
      </w:r>
    </w:p>
    <w:p>
      <w:pPr>
        <w:pStyle w:val="PARA"/>
        <w:jc w:val="left"/>
      </w:pPr>
      <w:r>
        <w:t>Let the total processing time T_total = T_parse + Wq + T_verify + T_logic + T_out. The cryptographic service rate μ = 1 / T_verify (ops/sec). Total arrival rate λ = λ_legit + λ_attack. Queue utilization ratio ρ = λ / μ. System stability requires ρ &lt; 1. When λ ≥ μ, the queue saturates and queue depth grows unbounded.</w:t>
      </w:r>
    </w:p>
    <w:p>
      <w:pPr>
        <w:pStyle w:val="H2First"/>
        <w:jc w:val="left"/>
      </w:pPr>
      <w:r>
        <w:t>B. M/M/1 Queue Formulation</w:t>
      </w:r>
    </w:p>
    <w:p>
      <w:pPr>
        <w:pStyle w:val="PARA"/>
        <w:jc w:val="left"/>
      </w:pPr>
      <w:r>
        <w:t>Assuming Poisson arrivals and exponentially distributed service times, the expected waiting time in queue E[Wq_MM1] = ρ / (μ * (1 - ρ)). The cumulative distribution function of system time T_sys gives the probability of deadline violation P(T_sys &gt; T_deadline) = exp(-μ * (1 - ρ) * T_deadline).</w:t>
      </w:r>
    </w:p>
    <w:p>
      <w:pPr>
        <w:pStyle w:val="H2First"/>
        <w:jc w:val="left"/>
      </w:pPr>
      <w:r>
        <w:t>C. M/D/1 Queue Formulation</w:t>
      </w:r>
    </w:p>
    <w:p>
      <w:pPr>
        <w:pStyle w:val="PARA"/>
        <w:jc w:val="left"/>
      </w:pPr>
      <w:r>
        <w:t>When cryptographic verification executes a deterministic number of operations for a fixed key size, service time is deterministic (D). By the Pollaczek-Khinchine formula, E[Wq_MD1] = ρ / (2 * μ * (1 - ρ)) = 0.5 * E[Wq_MM1]. Thus, M/M/1 provides a conservative upper-bound security model.</w:t>
      </w:r>
    </w:p>
    <w:p>
      <w:pPr>
        <w:pStyle w:val="H1ListSpace"/>
        <w:jc w:val="left"/>
      </w:pPr>
      <w:r>
        <w:t>V. EMPIRICAL BENCHMARKS AND HARDWARE SCALING</w:t>
      </w:r>
    </w:p>
    <w:p>
      <w:pPr>
        <w:pStyle w:val="H2First"/>
        <w:jc w:val="left"/>
      </w:pPr>
      <w:r>
        <w:t>A. Cryptographic Verification Benchmarks</w:t>
      </w:r>
    </w:p>
    <w:p>
      <w:pPr>
        <w:pStyle w:val="PARA"/>
        <w:jc w:val="left"/>
      </w:pPr>
      <w:r>
        <w:t>We conducted multi-trial empirical benchmarks using OpenSSL 3.0 on a reference system (Apple M2, 3.49 GHz), executing 5 independent trials of 5,000 iterations per algorithm. Table I summarizes the grand mean verification times, 95% confidence intervals, and derived service rates.</w:t>
      </w:r>
    </w:p>
    <w:p>
      <w:pPr>
        <w:pStyle w:val="TableTitle"/>
        <w:jc w:val="center"/>
      </w:pPr>
      <w:r>
        <w:t>TABLE I: Empirical Cryptographic Verification Performance (5 Trials × 5,000 Iterations)</w:t>
      </w:r>
    </w:p>
    <w:tbl>
      <w:tblPr>
        <w:tblW w:type="auto" w:w="0"/>
        <w:jc w:val="center"/>
        <w:tblLook w:firstColumn="1" w:firstRow="1" w:lastColumn="0" w:lastRow="0" w:noHBand="0" w:noVBand="1" w:val="04A0"/>
      </w:tblPr>
      <w:tblGrid>
        <w:gridCol w:w="1434"/>
        <w:gridCol w:w="1434"/>
        <w:gridCol w:w="1434"/>
        <w:gridCol w:w="1434"/>
        <w:gridCol w:w="1434"/>
        <w:gridCol w:w="1434"/>
        <w:gridCol w:w="1434"/>
      </w:tblGrid>
      <w:tr>
        <w:tc>
          <w:tcPr>
            <w:tcW w:type="dxa" w:w="1434"/>
            <w:shd w:fill="0066CC"/>
          </w:tcPr>
          <w:p>
            <w:r>
              <w:rPr>
                <w:b/>
                <w:color w:val="FFFFFF"/>
              </w:rPr>
              <w:t>Algorithm</w:t>
            </w:r>
          </w:p>
        </w:tc>
        <w:tc>
          <w:tcPr>
            <w:tcW w:type="dxa" w:w="1434"/>
            <w:shd w:fill="0066CC"/>
          </w:tcPr>
          <w:p>
            <w:r>
              <w:rPr>
                <w:b/>
                <w:color w:val="FFFFFF"/>
              </w:rPr>
              <w:t>Grand Mean (μs)</w:t>
            </w:r>
          </w:p>
        </w:tc>
        <w:tc>
          <w:tcPr>
            <w:tcW w:type="dxa" w:w="1434"/>
            <w:shd w:fill="0066CC"/>
          </w:tcPr>
          <w:p>
            <w:r>
              <w:rPr>
                <w:b/>
                <w:color w:val="FFFFFF"/>
              </w:rPr>
              <w:t>95% CI (μs)</w:t>
            </w:r>
          </w:p>
        </w:tc>
        <w:tc>
          <w:tcPr>
            <w:tcW w:type="dxa" w:w="1434"/>
            <w:shd w:fill="0066CC"/>
          </w:tcPr>
          <w:p>
            <w:r>
              <w:rPr>
                <w:b/>
                <w:color w:val="FFFFFF"/>
              </w:rPr>
              <w:t>Std Dev (μs)</w:t>
            </w:r>
          </w:p>
        </w:tc>
        <w:tc>
          <w:tcPr>
            <w:tcW w:type="dxa" w:w="1434"/>
            <w:shd w:fill="0066CC"/>
          </w:tcPr>
          <w:p>
            <w:r>
              <w:rPr>
                <w:b/>
                <w:color w:val="FFFFFF"/>
              </w:rPr>
              <w:t>CV (%)</w:t>
            </w:r>
          </w:p>
        </w:tc>
        <w:tc>
          <w:tcPr>
            <w:tcW w:type="dxa" w:w="1434"/>
            <w:shd w:fill="0066CC"/>
          </w:tcPr>
          <w:p>
            <w:r>
              <w:rPr>
                <w:b/>
                <w:color w:val="FFFFFF"/>
              </w:rPr>
              <w:t>Service Rate μ (ops/s)</w:t>
            </w:r>
          </w:p>
        </w:tc>
        <w:tc>
          <w:tcPr>
            <w:tcW w:type="dxa" w:w="1434"/>
            <w:shd w:fill="0066CC"/>
          </w:tcPr>
          <w:p>
            <w:r>
              <w:rPr>
                <w:b/>
                <w:color w:val="FFFFFF"/>
              </w:rPr>
              <w:t>95% CI Throughput (ops/s)</w:t>
            </w:r>
          </w:p>
        </w:tc>
      </w:tr>
      <w:tr>
        <w:tc>
          <w:tcPr>
            <w:tcW w:type="dxa" w:w="1434"/>
            <w:shd w:fill="F2F2F2"/>
          </w:tcPr>
          <w:p>
            <w:r>
              <w:t>HMAC-SHA256</w:t>
            </w:r>
          </w:p>
        </w:tc>
        <w:tc>
          <w:tcPr>
            <w:tcW w:type="dxa" w:w="1434"/>
            <w:shd w:fill="F2F2F2"/>
          </w:tcPr>
          <w:p>
            <w:r>
              <w:t>1.3919</w:t>
            </w:r>
          </w:p>
        </w:tc>
        <w:tc>
          <w:tcPr>
            <w:tcW w:type="dxa" w:w="1434"/>
            <w:shd w:fill="F2F2F2"/>
          </w:tcPr>
          <w:p>
            <w:r>
              <w:t>[1.3581, 1.4257]</w:t>
            </w:r>
          </w:p>
        </w:tc>
        <w:tc>
          <w:tcPr>
            <w:tcW w:type="dxa" w:w="1434"/>
            <w:shd w:fill="F2F2F2"/>
          </w:tcPr>
          <w:p>
            <w:r>
              <w:t>0.0385</w:t>
            </w:r>
          </w:p>
        </w:tc>
        <w:tc>
          <w:tcPr>
            <w:tcW w:type="dxa" w:w="1434"/>
            <w:shd w:fill="F2F2F2"/>
          </w:tcPr>
          <w:p>
            <w:r>
              <w:t>2.77%</w:t>
            </w:r>
          </w:p>
        </w:tc>
        <w:tc>
          <w:tcPr>
            <w:tcW w:type="dxa" w:w="1434"/>
            <w:shd w:fill="F2F2F2"/>
          </w:tcPr>
          <w:p>
            <w:r>
              <w:t>718,877.28</w:t>
            </w:r>
          </w:p>
        </w:tc>
        <w:tc>
          <w:tcPr>
            <w:tcW w:type="dxa" w:w="1434"/>
            <w:shd w:fill="F2F2F2"/>
          </w:tcPr>
          <w:p>
            <w:r>
              <w:t>[701,714, 736,040]</w:t>
            </w:r>
          </w:p>
        </w:tc>
      </w:tr>
      <w:tr>
        <w:tc>
          <w:tcPr>
            <w:tcW w:type="dxa" w:w="1434"/>
          </w:tcPr>
          <w:p>
            <w:r>
              <w:t>RSA-2048</w:t>
            </w:r>
          </w:p>
        </w:tc>
        <w:tc>
          <w:tcPr>
            <w:tcW w:type="dxa" w:w="1434"/>
          </w:tcPr>
          <w:p>
            <w:r>
              <w:t>33.6910</w:t>
            </w:r>
          </w:p>
        </w:tc>
        <w:tc>
          <w:tcPr>
            <w:tcW w:type="dxa" w:w="1434"/>
          </w:tcPr>
          <w:p>
            <w:r>
              <w:t>[33.1698, 34.2121]</w:t>
            </w:r>
          </w:p>
        </w:tc>
        <w:tc>
          <w:tcPr>
            <w:tcW w:type="dxa" w:w="1434"/>
          </w:tcPr>
          <w:p>
            <w:r>
              <w:t>0.5945</w:t>
            </w:r>
          </w:p>
        </w:tc>
        <w:tc>
          <w:tcPr>
            <w:tcW w:type="dxa" w:w="1434"/>
          </w:tcPr>
          <w:p>
            <w:r>
              <w:t>1.76%</w:t>
            </w:r>
          </w:p>
        </w:tc>
        <w:tc>
          <w:tcPr>
            <w:tcW w:type="dxa" w:w="1434"/>
          </w:tcPr>
          <w:p>
            <w:r>
              <w:t>29,688.82</w:t>
            </w:r>
          </w:p>
        </w:tc>
        <w:tc>
          <w:tcPr>
            <w:tcW w:type="dxa" w:w="1434"/>
          </w:tcPr>
          <w:p>
            <w:r>
              <w:t>[29,237, 30,140]</w:t>
            </w:r>
          </w:p>
        </w:tc>
      </w:tr>
      <w:tr>
        <w:tc>
          <w:tcPr>
            <w:tcW w:type="dxa" w:w="1434"/>
            <w:shd w:fill="F2F2F2"/>
          </w:tcPr>
          <w:p>
            <w:r>
              <w:t>ECDSA-P256</w:t>
            </w:r>
          </w:p>
        </w:tc>
        <w:tc>
          <w:tcPr>
            <w:tcW w:type="dxa" w:w="1434"/>
            <w:shd w:fill="F2F2F2"/>
          </w:tcPr>
          <w:p>
            <w:r>
              <w:t>62.3506</w:t>
            </w:r>
          </w:p>
        </w:tc>
        <w:tc>
          <w:tcPr>
            <w:tcW w:type="dxa" w:w="1434"/>
            <w:shd w:fill="F2F2F2"/>
          </w:tcPr>
          <w:p>
            <w:r>
              <w:t>[55.9120, 68.7892]</w:t>
            </w:r>
          </w:p>
        </w:tc>
        <w:tc>
          <w:tcPr>
            <w:tcW w:type="dxa" w:w="1434"/>
            <w:shd w:fill="F2F2F2"/>
          </w:tcPr>
          <w:p>
            <w:r>
              <w:t>7.3455</w:t>
            </w:r>
          </w:p>
        </w:tc>
        <w:tc>
          <w:tcPr>
            <w:tcW w:type="dxa" w:w="1434"/>
            <w:shd w:fill="F2F2F2"/>
          </w:tcPr>
          <w:p>
            <w:r>
              <w:t>11.78%</w:t>
            </w:r>
          </w:p>
        </w:tc>
        <w:tc>
          <w:tcPr>
            <w:tcW w:type="dxa" w:w="1434"/>
            <w:shd w:fill="F2F2F2"/>
          </w:tcPr>
          <w:p>
            <w:r>
              <w:t>16,196.85</w:t>
            </w:r>
          </w:p>
        </w:tc>
        <w:tc>
          <w:tcPr>
            <w:tcW w:type="dxa" w:w="1434"/>
            <w:shd w:fill="F2F2F2"/>
          </w:tcPr>
          <w:p>
            <w:r>
              <w:t>[14,720, 17,673]</w:t>
            </w:r>
          </w:p>
        </w:tc>
      </w:tr>
    </w:tbl>
    <w:p/>
    <w:p>
      <w:pPr>
        <w:pStyle w:val="H2First"/>
        <w:jc w:val="left"/>
      </w:pPr>
      <w:r>
        <w:t>B. Hardware Scaling across Embedded IED Tiers</w:t>
      </w:r>
    </w:p>
    <w:p>
      <w:pPr>
        <w:pStyle w:val="PARA"/>
        <w:jc w:val="left"/>
      </w:pPr>
      <w:r>
        <w:t>We projected empirical benchmarks across five embedded hardware tiers: Desktop Reference (1.0x), Intel Atom E3800 Gateway (8.0x), ARM Cortex-A9 (25.0x), ARM Cortex-R5 (80.0x), and ARM Cortex-M4 (300.0x). Table II presents the scaling results.</w:t>
      </w:r>
    </w:p>
    <w:p>
      <w:pPr>
        <w:pStyle w:val="TableTitle"/>
        <w:jc w:val="center"/>
      </w:pPr>
      <w:r>
        <w:t>TABLE II: Constrained Hardware Scaling and CIL-DoS Saturation Thresholds (RSA-2048)</w:t>
      </w:r>
    </w:p>
    <w:tbl>
      <w:tblPr>
        <w:tblW w:type="auto" w:w="0"/>
        <w:jc w:val="center"/>
        <w:tblLook w:firstColumn="1" w:firstRow="1" w:lastColumn="0" w:lastRow="0" w:noHBand="0" w:noVBand="1" w:val="04A0"/>
      </w:tblPr>
      <w:tblGrid>
        <w:gridCol w:w="1673"/>
        <w:gridCol w:w="1673"/>
        <w:gridCol w:w="1673"/>
        <w:gridCol w:w="1673"/>
        <w:gridCol w:w="1673"/>
        <w:gridCol w:w="1673"/>
      </w:tblGrid>
      <w:tr>
        <w:tc>
          <w:tcPr>
            <w:tcW w:type="dxa" w:w="1673"/>
            <w:shd w:fill="0066CC"/>
          </w:tcPr>
          <w:p>
            <w:r>
              <w:rPr>
                <w:b/>
                <w:color w:val="FFFFFF"/>
              </w:rPr>
              <w:t>Hardware Tier</w:t>
            </w:r>
          </w:p>
        </w:tc>
        <w:tc>
          <w:tcPr>
            <w:tcW w:type="dxa" w:w="1673"/>
            <w:shd w:fill="0066CC"/>
          </w:tcPr>
          <w:p>
            <w:r>
              <w:rPr>
                <w:b/>
                <w:color w:val="FFFFFF"/>
              </w:rPr>
              <w:t>Scaling Factor</w:t>
            </w:r>
          </w:p>
        </w:tc>
        <w:tc>
          <w:tcPr>
            <w:tcW w:type="dxa" w:w="1673"/>
            <w:shd w:fill="0066CC"/>
          </w:tcPr>
          <w:p>
            <w:r>
              <w:rPr>
                <w:b/>
                <w:color w:val="FFFFFF"/>
              </w:rPr>
              <w:t>Verify Latency (μs)</w:t>
            </w:r>
          </w:p>
        </w:tc>
        <w:tc>
          <w:tcPr>
            <w:tcW w:type="dxa" w:w="1673"/>
            <w:shd w:fill="0066CC"/>
          </w:tcPr>
          <w:p>
            <w:r>
              <w:rPr>
                <w:b/>
                <w:color w:val="FFFFFF"/>
              </w:rPr>
              <w:t>Service Rate μ (ops/s)</w:t>
            </w:r>
          </w:p>
        </w:tc>
        <w:tc>
          <w:tcPr>
            <w:tcW w:type="dxa" w:w="1673"/>
            <w:shd w:fill="0066CC"/>
          </w:tcPr>
          <w:p>
            <w:r>
              <w:rPr>
                <w:b/>
                <w:color w:val="FFFFFF"/>
              </w:rPr>
              <w:t>λ (1% Violation)</w:t>
            </w:r>
          </w:p>
        </w:tc>
        <w:tc>
          <w:tcPr>
            <w:tcW w:type="dxa" w:w="1673"/>
            <w:shd w:fill="0066CC"/>
          </w:tcPr>
          <w:p>
            <w:r>
              <w:rPr>
                <w:b/>
                <w:color w:val="FFFFFF"/>
              </w:rPr>
              <w:t>Saturation Rate (pps)</w:t>
            </w:r>
          </w:p>
        </w:tc>
      </w:tr>
      <w:tr>
        <w:tc>
          <w:tcPr>
            <w:tcW w:type="dxa" w:w="1673"/>
            <w:shd w:fill="F2F2F2"/>
          </w:tcPr>
          <w:p>
            <w:r>
              <w:t>Desktop (Apple M2)</w:t>
            </w:r>
          </w:p>
        </w:tc>
        <w:tc>
          <w:tcPr>
            <w:tcW w:type="dxa" w:w="1673"/>
            <w:shd w:fill="F2F2F2"/>
          </w:tcPr>
          <w:p>
            <w:r>
              <w:t>1.0x</w:t>
            </w:r>
          </w:p>
        </w:tc>
        <w:tc>
          <w:tcPr>
            <w:tcW w:type="dxa" w:w="1673"/>
            <w:shd w:fill="F2F2F2"/>
          </w:tcPr>
          <w:p>
            <w:r>
              <w:t>33.69</w:t>
            </w:r>
          </w:p>
        </w:tc>
        <w:tc>
          <w:tcPr>
            <w:tcW w:type="dxa" w:w="1673"/>
            <w:shd w:fill="F2F2F2"/>
          </w:tcPr>
          <w:p>
            <w:r>
              <w:t>29,688.82</w:t>
            </w:r>
          </w:p>
        </w:tc>
        <w:tc>
          <w:tcPr>
            <w:tcW w:type="dxa" w:w="1673"/>
            <w:shd w:fill="F2F2F2"/>
          </w:tcPr>
          <w:p>
            <w:r>
              <w:t>28,154 pps</w:t>
            </w:r>
          </w:p>
        </w:tc>
        <w:tc>
          <w:tcPr>
            <w:tcW w:type="dxa" w:w="1673"/>
            <w:shd w:fill="F2F2F2"/>
          </w:tcPr>
          <w:p>
            <w:r>
              <w:t>29,688.82 pps</w:t>
            </w:r>
          </w:p>
        </w:tc>
      </w:tr>
      <w:tr>
        <w:tc>
          <w:tcPr>
            <w:tcW w:type="dxa" w:w="1673"/>
          </w:tcPr>
          <w:p>
            <w:r>
              <w:t>Intel Atom E3800</w:t>
            </w:r>
          </w:p>
        </w:tc>
        <w:tc>
          <w:tcPr>
            <w:tcW w:type="dxa" w:w="1673"/>
          </w:tcPr>
          <w:p>
            <w:r>
              <w:t>8.0x</w:t>
            </w:r>
          </w:p>
        </w:tc>
        <w:tc>
          <w:tcPr>
            <w:tcW w:type="dxa" w:w="1673"/>
          </w:tcPr>
          <w:p>
            <w:r>
              <w:t>270.45</w:t>
            </w:r>
          </w:p>
        </w:tc>
        <w:tc>
          <w:tcPr>
            <w:tcW w:type="dxa" w:w="1673"/>
          </w:tcPr>
          <w:p>
            <w:r>
              <w:t>3,700.44</w:t>
            </w:r>
          </w:p>
        </w:tc>
        <w:tc>
          <w:tcPr>
            <w:tcW w:type="dxa" w:w="1673"/>
          </w:tcPr>
          <w:p>
            <w:r>
              <w:t>2,310 pps</w:t>
            </w:r>
          </w:p>
        </w:tc>
        <w:tc>
          <w:tcPr>
            <w:tcW w:type="dxa" w:w="1673"/>
          </w:tcPr>
          <w:p>
            <w:r>
              <w:t>3,700.44 pps</w:t>
            </w:r>
          </w:p>
        </w:tc>
      </w:tr>
      <w:tr>
        <w:tc>
          <w:tcPr>
            <w:tcW w:type="dxa" w:w="1673"/>
            <w:shd w:fill="F2F2F2"/>
          </w:tcPr>
          <w:p>
            <w:r>
              <w:t>ARM Cortex-A9</w:t>
            </w:r>
          </w:p>
        </w:tc>
        <w:tc>
          <w:tcPr>
            <w:tcW w:type="dxa" w:w="1673"/>
            <w:shd w:fill="F2F2F2"/>
          </w:tcPr>
          <w:p>
            <w:r>
              <w:t>25.0x</w:t>
            </w:r>
          </w:p>
        </w:tc>
        <w:tc>
          <w:tcPr>
            <w:tcW w:type="dxa" w:w="1673"/>
            <w:shd w:fill="F2F2F2"/>
          </w:tcPr>
          <w:p>
            <w:r>
              <w:t>845.17</w:t>
            </w:r>
          </w:p>
        </w:tc>
        <w:tc>
          <w:tcPr>
            <w:tcW w:type="dxa" w:w="1673"/>
            <w:shd w:fill="F2F2F2"/>
          </w:tcPr>
          <w:p>
            <w:r>
              <w:t>1,184.14</w:t>
            </w:r>
          </w:p>
        </w:tc>
        <w:tc>
          <w:tcPr>
            <w:tcW w:type="dxa" w:w="1673"/>
            <w:shd w:fill="F2F2F2"/>
          </w:tcPr>
          <w:p>
            <w:r>
              <w:t>222 pps</w:t>
            </w:r>
          </w:p>
        </w:tc>
        <w:tc>
          <w:tcPr>
            <w:tcW w:type="dxa" w:w="1673"/>
            <w:shd w:fill="F2F2F2"/>
          </w:tcPr>
          <w:p>
            <w:r>
              <w:t>1,184.14 pps</w:t>
            </w:r>
          </w:p>
        </w:tc>
      </w:tr>
      <w:tr>
        <w:tc>
          <w:tcPr>
            <w:tcW w:type="dxa" w:w="1673"/>
          </w:tcPr>
          <w:p>
            <w:r>
              <w:t>ARM Cortex-R5</w:t>
            </w:r>
          </w:p>
        </w:tc>
        <w:tc>
          <w:tcPr>
            <w:tcW w:type="dxa" w:w="1673"/>
          </w:tcPr>
          <w:p>
            <w:r>
              <w:t>80.0x</w:t>
            </w:r>
          </w:p>
        </w:tc>
        <w:tc>
          <w:tcPr>
            <w:tcW w:type="dxa" w:w="1673"/>
          </w:tcPr>
          <w:p>
            <w:r>
              <w:t>2,704.53</w:t>
            </w:r>
          </w:p>
        </w:tc>
        <w:tc>
          <w:tcPr>
            <w:tcW w:type="dxa" w:w="1673"/>
          </w:tcPr>
          <w:p>
            <w:r>
              <w:t>370.04</w:t>
            </w:r>
          </w:p>
        </w:tc>
        <w:tc>
          <w:tcPr>
            <w:tcW w:type="dxa" w:w="1673"/>
          </w:tcPr>
          <w:p>
            <w:r>
              <w:t>12 pps</w:t>
            </w:r>
          </w:p>
        </w:tc>
        <w:tc>
          <w:tcPr>
            <w:tcW w:type="dxa" w:w="1673"/>
          </w:tcPr>
          <w:p>
            <w:r>
              <w:t>370.04 pps</w:t>
            </w:r>
          </w:p>
        </w:tc>
      </w:tr>
      <w:tr>
        <w:tc>
          <w:tcPr>
            <w:tcW w:type="dxa" w:w="1673"/>
            <w:shd w:fill="F2F2F2"/>
          </w:tcPr>
          <w:p>
            <w:r>
              <w:t>ARM Cortex-M4</w:t>
            </w:r>
          </w:p>
        </w:tc>
        <w:tc>
          <w:tcPr>
            <w:tcW w:type="dxa" w:w="1673"/>
            <w:shd w:fill="F2F2F2"/>
          </w:tcPr>
          <w:p>
            <w:r>
              <w:t>300.0x</w:t>
            </w:r>
          </w:p>
        </w:tc>
        <w:tc>
          <w:tcPr>
            <w:tcW w:type="dxa" w:w="1673"/>
            <w:shd w:fill="F2F2F2"/>
          </w:tcPr>
          <w:p>
            <w:r>
              <w:t>10,142.00</w:t>
            </w:r>
          </w:p>
        </w:tc>
        <w:tc>
          <w:tcPr>
            <w:tcW w:type="dxa" w:w="1673"/>
            <w:shd w:fill="F2F2F2"/>
          </w:tcPr>
          <w:p>
            <w:r>
              <w:t>98.68</w:t>
            </w:r>
          </w:p>
        </w:tc>
        <w:tc>
          <w:tcPr>
            <w:tcW w:type="dxa" w:w="1673"/>
            <w:shd w:fill="F2F2F2"/>
          </w:tcPr>
          <w:p>
            <w:r>
              <w:t>1 pps</w:t>
            </w:r>
          </w:p>
        </w:tc>
        <w:tc>
          <w:tcPr>
            <w:tcW w:type="dxa" w:w="1673"/>
            <w:shd w:fill="F2F2F2"/>
          </w:tcPr>
          <w:p>
            <w:r>
              <w:t>98.68 pps</w:t>
            </w:r>
          </w:p>
        </w:tc>
      </w:tr>
    </w:tbl>
    <w:p/>
    <w:p>
      <w:pPr>
        <w:pStyle w:val="H1ListSpace"/>
        <w:jc w:val="left"/>
      </w:pPr>
      <w:r>
        <w:t>VI. SOFTWARE TESTBED AND MODEL VALIDATION</w:t>
      </w:r>
    </w:p>
    <w:p>
      <w:pPr>
        <w:pStyle w:val="H2First"/>
        <w:jc w:val="left"/>
      </w:pPr>
      <w:r>
        <w:t>A. GridPulse Testbed Implementation</w:t>
      </w:r>
    </w:p>
    <w:p>
      <w:pPr>
        <w:pStyle w:val="PARA"/>
        <w:jc w:val="left"/>
      </w:pPr>
      <w:r>
        <w:t>We implemented GridPulse, an open-source Python testbed with a thread-safe SoftwareBus and RelayPipeline measuring execution stage timings.</w:t>
      </w:r>
    </w:p>
    <w:p>
      <w:pPr>
        <w:pStyle w:val="H2First"/>
        <w:jc w:val="left"/>
      </w:pPr>
      <w:r>
        <w:t>B. Model vs. Simulation Validation</w:t>
      </w:r>
    </w:p>
    <w:p>
      <w:pPr>
        <w:pStyle w:val="PARA"/>
        <w:jc w:val="left"/>
      </w:pPr>
      <w:r>
        <w:t>We validated the M/M/1 queueing model against empirical discrete-event execution. Table III shows model vs. simulation results across utilization levels.</w:t>
      </w:r>
    </w:p>
    <w:p>
      <w:pPr>
        <w:pStyle w:val="TableTitle"/>
        <w:jc w:val="center"/>
      </w:pPr>
      <w:r>
        <w:t>TABLE III: M/M/1 Analytical Model vs. Simulation Validation (RSA-2048, μ = 29,688.82 ops/s)</w:t>
      </w:r>
    </w:p>
    <w:tbl>
      <w:tblPr>
        <w:tblW w:type="auto" w:w="0"/>
        <w:jc w:val="center"/>
        <w:tblLook w:firstColumn="1" w:firstRow="1" w:lastColumn="0" w:lastRow="0" w:noHBand="0" w:noVBand="1" w:val="04A0"/>
      </w:tblPr>
      <w:tblGrid>
        <w:gridCol w:w="1673"/>
        <w:gridCol w:w="1673"/>
        <w:gridCol w:w="1673"/>
        <w:gridCol w:w="1673"/>
        <w:gridCol w:w="1673"/>
        <w:gridCol w:w="1673"/>
      </w:tblGrid>
      <w:tr>
        <w:tc>
          <w:tcPr>
            <w:tcW w:type="dxa" w:w="1673"/>
            <w:shd w:fill="0066CC"/>
          </w:tcPr>
          <w:p>
            <w:r>
              <w:rPr>
                <w:b/>
                <w:color w:val="FFFFFF"/>
              </w:rPr>
              <w:t>Utilization ρ</w:t>
            </w:r>
          </w:p>
        </w:tc>
        <w:tc>
          <w:tcPr>
            <w:tcW w:type="dxa" w:w="1673"/>
            <w:shd w:fill="0066CC"/>
          </w:tcPr>
          <w:p>
            <w:r>
              <w:rPr>
                <w:b/>
                <w:color w:val="FFFFFF"/>
              </w:rPr>
              <w:t>Arrival Rate λ (pps)</w:t>
            </w:r>
          </w:p>
        </w:tc>
        <w:tc>
          <w:tcPr>
            <w:tcW w:type="dxa" w:w="1673"/>
            <w:shd w:fill="0066CC"/>
          </w:tcPr>
          <w:p>
            <w:r>
              <w:rPr>
                <w:b/>
                <w:color w:val="FFFFFF"/>
              </w:rPr>
              <w:t>Model Wq (μs)</w:t>
            </w:r>
          </w:p>
        </w:tc>
        <w:tc>
          <w:tcPr>
            <w:tcW w:type="dxa" w:w="1673"/>
            <w:shd w:fill="0066CC"/>
          </w:tcPr>
          <w:p>
            <w:r>
              <w:rPr>
                <w:b/>
                <w:color w:val="FFFFFF"/>
              </w:rPr>
              <w:t>Sim Wq (μs)</w:t>
            </w:r>
          </w:p>
        </w:tc>
        <w:tc>
          <w:tcPr>
            <w:tcW w:type="dxa" w:w="1673"/>
            <w:shd w:fill="0066CC"/>
          </w:tcPr>
          <w:p>
            <w:r>
              <w:rPr>
                <w:b/>
                <w:color w:val="FFFFFF"/>
              </w:rPr>
              <w:t>Wait Error (%)</w:t>
            </w:r>
          </w:p>
        </w:tc>
        <w:tc>
          <w:tcPr>
            <w:tcW w:type="dxa" w:w="1673"/>
            <w:shd w:fill="0066CC"/>
          </w:tcPr>
          <w:p>
            <w:r>
              <w:rPr>
                <w:b/>
                <w:color w:val="FFFFFF"/>
              </w:rPr>
              <w:t>P(Violation) Error</w:t>
            </w:r>
          </w:p>
        </w:tc>
      </w:tr>
      <w:tr>
        <w:tc>
          <w:tcPr>
            <w:tcW w:type="dxa" w:w="1673"/>
            <w:shd w:fill="F2F2F2"/>
          </w:tcPr>
          <w:p>
            <w:r>
              <w:t>0.10</w:t>
            </w:r>
          </w:p>
        </w:tc>
        <w:tc>
          <w:tcPr>
            <w:tcW w:type="dxa" w:w="1673"/>
            <w:shd w:fill="F2F2F2"/>
          </w:tcPr>
          <w:p>
            <w:r>
              <w:t>2,969</w:t>
            </w:r>
          </w:p>
        </w:tc>
        <w:tc>
          <w:tcPr>
            <w:tcW w:type="dxa" w:w="1673"/>
            <w:shd w:fill="F2F2F2"/>
          </w:tcPr>
          <w:p>
            <w:r>
              <w:t>3.74</w:t>
            </w:r>
          </w:p>
        </w:tc>
        <w:tc>
          <w:tcPr>
            <w:tcW w:type="dxa" w:w="1673"/>
            <w:shd w:fill="F2F2F2"/>
          </w:tcPr>
          <w:p>
            <w:r>
              <w:t>37.37</w:t>
            </w:r>
          </w:p>
        </w:tc>
        <w:tc>
          <w:tcPr>
            <w:tcW w:type="dxa" w:w="1673"/>
            <w:shd w:fill="F2F2F2"/>
          </w:tcPr>
          <w:p>
            <w:r>
              <w:t>89.98%</w:t>
            </w:r>
          </w:p>
        </w:tc>
        <w:tc>
          <w:tcPr>
            <w:tcW w:type="dxa" w:w="1673"/>
            <w:shd w:fill="F2F2F2"/>
          </w:tcPr>
          <w:p>
            <w:r>
              <w:t>0.0000</w:t>
            </w:r>
          </w:p>
        </w:tc>
      </w:tr>
      <w:tr>
        <w:tc>
          <w:tcPr>
            <w:tcW w:type="dxa" w:w="1673"/>
          </w:tcPr>
          <w:p>
            <w:r>
              <w:t>0.50</w:t>
            </w:r>
          </w:p>
        </w:tc>
        <w:tc>
          <w:tcPr>
            <w:tcW w:type="dxa" w:w="1673"/>
          </w:tcPr>
          <w:p>
            <w:r>
              <w:t>14,844</w:t>
            </w:r>
          </w:p>
        </w:tc>
        <w:tc>
          <w:tcPr>
            <w:tcW w:type="dxa" w:w="1673"/>
          </w:tcPr>
          <w:p>
            <w:r>
              <w:t>33.68</w:t>
            </w:r>
          </w:p>
        </w:tc>
        <w:tc>
          <w:tcPr>
            <w:tcW w:type="dxa" w:w="1673"/>
          </w:tcPr>
          <w:p>
            <w:r>
              <w:t>67.11</w:t>
            </w:r>
          </w:p>
        </w:tc>
        <w:tc>
          <w:tcPr>
            <w:tcW w:type="dxa" w:w="1673"/>
          </w:tcPr>
          <w:p>
            <w:r>
              <w:t>49.81%</w:t>
            </w:r>
          </w:p>
        </w:tc>
        <w:tc>
          <w:tcPr>
            <w:tcW w:type="dxa" w:w="1673"/>
          </w:tcPr>
          <w:p>
            <w:r>
              <w:t>0.0000</w:t>
            </w:r>
          </w:p>
        </w:tc>
      </w:tr>
      <w:tr>
        <w:tc>
          <w:tcPr>
            <w:tcW w:type="dxa" w:w="1673"/>
            <w:shd w:fill="F2F2F2"/>
          </w:tcPr>
          <w:p>
            <w:r>
              <w:t>0.80</w:t>
            </w:r>
          </w:p>
        </w:tc>
        <w:tc>
          <w:tcPr>
            <w:tcW w:type="dxa" w:w="1673"/>
            <w:shd w:fill="F2F2F2"/>
          </w:tcPr>
          <w:p>
            <w:r>
              <w:t>23,751</w:t>
            </w:r>
          </w:p>
        </w:tc>
        <w:tc>
          <w:tcPr>
            <w:tcW w:type="dxa" w:w="1673"/>
            <w:shd w:fill="F2F2F2"/>
          </w:tcPr>
          <w:p>
            <w:r>
              <w:t>134.73</w:t>
            </w:r>
          </w:p>
        </w:tc>
        <w:tc>
          <w:tcPr>
            <w:tcW w:type="dxa" w:w="1673"/>
            <w:shd w:fill="F2F2F2"/>
          </w:tcPr>
          <w:p>
            <w:r>
              <w:t>168.00</w:t>
            </w:r>
          </w:p>
        </w:tc>
        <w:tc>
          <w:tcPr>
            <w:tcW w:type="dxa" w:w="1673"/>
            <w:shd w:fill="F2F2F2"/>
          </w:tcPr>
          <w:p>
            <w:r>
              <w:t>19.80%</w:t>
            </w:r>
          </w:p>
        </w:tc>
        <w:tc>
          <w:tcPr>
            <w:tcW w:type="dxa" w:w="1673"/>
            <w:shd w:fill="F2F2F2"/>
          </w:tcPr>
          <w:p>
            <w:r>
              <w:t>0.0000</w:t>
            </w:r>
          </w:p>
        </w:tc>
      </w:tr>
      <w:tr>
        <w:tc>
          <w:tcPr>
            <w:tcW w:type="dxa" w:w="1673"/>
          </w:tcPr>
          <w:p>
            <w:r>
              <w:t>0.90</w:t>
            </w:r>
          </w:p>
        </w:tc>
        <w:tc>
          <w:tcPr>
            <w:tcW w:type="dxa" w:w="1673"/>
          </w:tcPr>
          <w:p>
            <w:r>
              <w:t>26,720</w:t>
            </w:r>
          </w:p>
        </w:tc>
        <w:tc>
          <w:tcPr>
            <w:tcW w:type="dxa" w:w="1673"/>
          </w:tcPr>
          <w:p>
            <w:r>
              <w:t>303.14</w:t>
            </w:r>
          </w:p>
        </w:tc>
        <w:tc>
          <w:tcPr>
            <w:tcW w:type="dxa" w:w="1673"/>
          </w:tcPr>
          <w:p>
            <w:r>
              <w:t>334.95</w:t>
            </w:r>
          </w:p>
        </w:tc>
        <w:tc>
          <w:tcPr>
            <w:tcW w:type="dxa" w:w="1673"/>
          </w:tcPr>
          <w:p>
            <w:r>
              <w:t>9.50%</w:t>
            </w:r>
          </w:p>
        </w:tc>
        <w:tc>
          <w:tcPr>
            <w:tcW w:type="dxa" w:w="1673"/>
          </w:tcPr>
          <w:p>
            <w:r>
              <w:t>0.0132 pp</w:t>
            </w:r>
          </w:p>
        </w:tc>
      </w:tr>
      <w:tr>
        <w:tc>
          <w:tcPr>
            <w:tcW w:type="dxa" w:w="1673"/>
            <w:shd w:fill="F2F2F2"/>
          </w:tcPr>
          <w:p>
            <w:r>
              <w:t>0.95</w:t>
            </w:r>
          </w:p>
        </w:tc>
        <w:tc>
          <w:tcPr>
            <w:tcW w:type="dxa" w:w="1673"/>
            <w:shd w:fill="F2F2F2"/>
          </w:tcPr>
          <w:p>
            <w:r>
              <w:t>28,204</w:t>
            </w:r>
          </w:p>
        </w:tc>
        <w:tc>
          <w:tcPr>
            <w:tcW w:type="dxa" w:w="1673"/>
            <w:shd w:fill="F2F2F2"/>
          </w:tcPr>
          <w:p>
            <w:r>
              <w:t>639.97</w:t>
            </w:r>
          </w:p>
        </w:tc>
        <w:tc>
          <w:tcPr>
            <w:tcW w:type="dxa" w:w="1673"/>
            <w:shd w:fill="F2F2F2"/>
          </w:tcPr>
          <w:p>
            <w:r>
              <w:t>707.23</w:t>
            </w:r>
          </w:p>
        </w:tc>
        <w:tc>
          <w:tcPr>
            <w:tcW w:type="dxa" w:w="1673"/>
            <w:shd w:fill="F2F2F2"/>
          </w:tcPr>
          <w:p>
            <w:r>
              <w:t>9.51%</w:t>
            </w:r>
          </w:p>
        </w:tc>
        <w:tc>
          <w:tcPr>
            <w:tcW w:type="dxa" w:w="1673"/>
            <w:shd w:fill="F2F2F2"/>
          </w:tcPr>
          <w:p>
            <w:r>
              <w:t>0.1643 pp</w:t>
            </w:r>
          </w:p>
        </w:tc>
      </w:tr>
      <w:tr>
        <w:tc>
          <w:tcPr>
            <w:tcW w:type="dxa" w:w="1673"/>
          </w:tcPr>
          <w:p>
            <w:r>
              <w:t>0.98</w:t>
            </w:r>
          </w:p>
        </w:tc>
        <w:tc>
          <w:tcPr>
            <w:tcW w:type="dxa" w:w="1673"/>
          </w:tcPr>
          <w:p>
            <w:r>
              <w:t>29,095</w:t>
            </w:r>
          </w:p>
        </w:tc>
        <w:tc>
          <w:tcPr>
            <w:tcW w:type="dxa" w:w="1673"/>
          </w:tcPr>
          <w:p>
            <w:r>
              <w:t>1650.45</w:t>
            </w:r>
          </w:p>
        </w:tc>
        <w:tc>
          <w:tcPr>
            <w:tcW w:type="dxa" w:w="1673"/>
          </w:tcPr>
          <w:p>
            <w:r>
              <w:t>1866.87</w:t>
            </w:r>
          </w:p>
        </w:tc>
        <w:tc>
          <w:tcPr>
            <w:tcW w:type="dxa" w:w="1673"/>
          </w:tcPr>
          <w:p>
            <w:r>
              <w:t>11.59%</w:t>
            </w:r>
          </w:p>
        </w:tc>
        <w:tc>
          <w:tcPr>
            <w:tcW w:type="dxa" w:w="1673"/>
          </w:tcPr>
          <w:p>
            <w:r>
              <w:t>4.4152 pp</w:t>
            </w:r>
          </w:p>
        </w:tc>
      </w:tr>
    </w:tbl>
    <w:p/>
    <w:p>
      <w:pPr>
        <w:pStyle w:val="H1ListSpace"/>
        <w:jc w:val="left"/>
      </w:pPr>
      <w:r>
        <w:t>VII. EBPF/XDP DEFENSIVE ARCHITECTURE AND COMPARATIVE EVALUATION</w:t>
      </w:r>
    </w:p>
    <w:p>
      <w:pPr>
        <w:pStyle w:val="H2First"/>
        <w:jc w:val="left"/>
      </w:pPr>
      <w:r>
        <w:t>A. eBPF/XDP Pre-Verification Filter Design</w:t>
      </w:r>
    </w:p>
    <w:p>
      <w:pPr>
        <w:pStyle w:val="PARA"/>
        <w:jc w:val="left"/>
      </w:pPr>
      <w:r>
        <w:t>Packet filtering must occur before CPU cycles are spent on signature verification. Our eBPF/XDP filter executes at the NIC driver layer, checking EtherType (0x88B8), MAC allowlisting, and per-source token-bucket rate limiting in &lt;0.5 μs.</w:t>
      </w:r>
    </w:p>
    <w:p>
      <w:pPr>
        <w:pStyle w:val="H2First"/>
        <w:jc w:val="left"/>
      </w:pPr>
      <w:r>
        <w:t>B. Comparative Evaluation of Defense Strategies</w:t>
      </w:r>
    </w:p>
    <w:p>
      <w:pPr>
        <w:pStyle w:val="PARA"/>
        <w:jc w:val="left"/>
      </w:pPr>
      <w:r>
        <w:t>We systematically evaluated 8 defense approaches against CIL-DoS attacks (25,000 pps flood, RSA-2048). Table IV presents the comparative matrix.</w:t>
      </w:r>
    </w:p>
    <w:p>
      <w:pPr>
        <w:pStyle w:val="TableTitle"/>
        <w:jc w:val="center"/>
      </w:pPr>
      <w:r>
        <w:t>TABLE IV: Comprehensive Comparative Analysis of Defense Approaches against CIL-DoS Attacks</w:t>
      </w:r>
    </w:p>
    <w:tbl>
      <w:tblPr>
        <w:tblW w:type="auto" w:w="0"/>
        <w:jc w:val="center"/>
        <w:tblLook w:firstColumn="1" w:firstRow="1" w:lastColumn="0" w:lastRow="0" w:noHBand="0" w:noVBand="1" w:val="04A0"/>
      </w:tblPr>
      <w:tblGrid>
        <w:gridCol w:w="1673"/>
        <w:gridCol w:w="1673"/>
        <w:gridCol w:w="1673"/>
        <w:gridCol w:w="1673"/>
        <w:gridCol w:w="1673"/>
        <w:gridCol w:w="1673"/>
      </w:tblGrid>
      <w:tr>
        <w:tc>
          <w:tcPr>
            <w:tcW w:type="dxa" w:w="1673"/>
            <w:shd w:fill="0066CC"/>
          </w:tcPr>
          <w:p>
            <w:r>
              <w:rPr>
                <w:b/>
                <w:color w:val="FFFFFF"/>
              </w:rPr>
              <w:t>Defense Approach</w:t>
            </w:r>
          </w:p>
        </w:tc>
        <w:tc>
          <w:tcPr>
            <w:tcW w:type="dxa" w:w="1673"/>
            <w:shd w:fill="0066CC"/>
          </w:tcPr>
          <w:p>
            <w:r>
              <w:rPr>
                <w:b/>
                <w:color w:val="FFFFFF"/>
              </w:rPr>
              <w:t>Layer</w:t>
            </w:r>
          </w:p>
        </w:tc>
        <w:tc>
          <w:tcPr>
            <w:tcW w:type="dxa" w:w="1673"/>
            <w:shd w:fill="0066CC"/>
          </w:tcPr>
          <w:p>
            <w:r>
              <w:rPr>
                <w:b/>
                <w:color w:val="FFFFFF"/>
              </w:rPr>
              <w:t>Inspects GOOSE?</w:t>
            </w:r>
          </w:p>
        </w:tc>
        <w:tc>
          <w:tcPr>
            <w:tcW w:type="dxa" w:w="1673"/>
            <w:shd w:fill="0066CC"/>
          </w:tcPr>
          <w:p>
            <w:r>
              <w:rPr>
                <w:b/>
                <w:color w:val="FFFFFF"/>
              </w:rPr>
              <w:t>Added Latency</w:t>
            </w:r>
          </w:p>
        </w:tc>
        <w:tc>
          <w:tcPr>
            <w:tcW w:type="dxa" w:w="1673"/>
            <w:shd w:fill="0066CC"/>
          </w:tcPr>
          <w:p>
            <w:r>
              <w:rPr>
                <w:b/>
                <w:color w:val="FFFFFF"/>
              </w:rPr>
              <w:t>Max Filter Rate</w:t>
            </w:r>
          </w:p>
        </w:tc>
        <w:tc>
          <w:tcPr>
            <w:tcW w:type="dxa" w:w="1673"/>
            <w:shd w:fill="0066CC"/>
          </w:tcPr>
          <w:p>
            <w:r>
              <w:rPr>
                <w:b/>
                <w:color w:val="FFFFFF"/>
              </w:rPr>
              <w:t>Effectiveness</w:t>
            </w:r>
          </w:p>
        </w:tc>
      </w:tr>
      <w:tr>
        <w:tc>
          <w:tcPr>
            <w:tcW w:type="dxa" w:w="1673"/>
            <w:shd w:fill="F2F2F2"/>
          </w:tcPr>
          <w:p>
            <w:r>
              <w:t>1. No Defense (Baseline)</w:t>
            </w:r>
          </w:p>
        </w:tc>
        <w:tc>
          <w:tcPr>
            <w:tcW w:type="dxa" w:w="1673"/>
            <w:shd w:fill="F2F2F2"/>
          </w:tcPr>
          <w:p>
            <w:r>
              <w:t>None</w:t>
            </w:r>
          </w:p>
        </w:tc>
        <w:tc>
          <w:tcPr>
            <w:tcW w:type="dxa" w:w="1673"/>
            <w:shd w:fill="F2F2F2"/>
          </w:tcPr>
          <w:p>
            <w:r>
              <w:t>No</w:t>
            </w:r>
          </w:p>
        </w:tc>
        <w:tc>
          <w:tcPr>
            <w:tcW w:type="dxa" w:w="1673"/>
            <w:shd w:fill="F2F2F2"/>
          </w:tcPr>
          <w:p>
            <w:r>
              <w:t>0 μs</w:t>
            </w:r>
          </w:p>
        </w:tc>
        <w:tc>
          <w:tcPr>
            <w:tcW w:type="dxa" w:w="1673"/>
            <w:shd w:fill="F2F2F2"/>
          </w:tcPr>
          <w:p>
            <w:r>
              <w:t>N/A</w:t>
            </w:r>
          </w:p>
        </w:tc>
        <w:tc>
          <w:tcPr>
            <w:tcW w:type="dxa" w:w="1673"/>
            <w:shd w:fill="F2F2F2"/>
          </w:tcPr>
          <w:p>
            <w:r>
              <w:t>0% (Full Saturation)</w:t>
            </w:r>
          </w:p>
        </w:tc>
      </w:tr>
      <w:tr>
        <w:tc>
          <w:tcPr>
            <w:tcW w:type="dxa" w:w="1673"/>
          </w:tcPr>
          <w:p>
            <w:r>
              <w:t>2. Switch MAC ACL</w:t>
            </w:r>
          </w:p>
        </w:tc>
        <w:tc>
          <w:tcPr>
            <w:tcW w:type="dxa" w:w="1673"/>
          </w:tcPr>
          <w:p>
            <w:r>
              <w:t>L2</w:t>
            </w:r>
          </w:p>
        </w:tc>
        <w:tc>
          <w:tcPr>
            <w:tcW w:type="dxa" w:w="1673"/>
          </w:tcPr>
          <w:p>
            <w:r>
              <w:t>No</w:t>
            </w:r>
          </w:p>
        </w:tc>
        <w:tc>
          <w:tcPr>
            <w:tcW w:type="dxa" w:w="1673"/>
          </w:tcPr>
          <w:p>
            <w:r>
              <w:t>&lt;1 μs</w:t>
            </w:r>
          </w:p>
        </w:tc>
        <w:tc>
          <w:tcPr>
            <w:tcW w:type="dxa" w:w="1673"/>
          </w:tcPr>
          <w:p>
            <w:r>
              <w:t>Wire speed</w:t>
            </w:r>
          </w:p>
        </w:tc>
        <w:tc>
          <w:tcPr>
            <w:tcW w:type="dxa" w:w="1673"/>
          </w:tcPr>
          <w:p>
            <w:r>
              <w:t>High (Defeated by MAC spoof)</w:t>
            </w:r>
          </w:p>
        </w:tc>
      </w:tr>
      <w:tr>
        <w:tc>
          <w:tcPr>
            <w:tcW w:type="dxa" w:w="1673"/>
            <w:shd w:fill="F2F2F2"/>
          </w:tcPr>
          <w:p>
            <w:r>
              <w:t>3. VLAN Isolation</w:t>
            </w:r>
          </w:p>
        </w:tc>
        <w:tc>
          <w:tcPr>
            <w:tcW w:type="dxa" w:w="1673"/>
            <w:shd w:fill="F2F2F2"/>
          </w:tcPr>
          <w:p>
            <w:r>
              <w:t>L2</w:t>
            </w:r>
          </w:p>
        </w:tc>
        <w:tc>
          <w:tcPr>
            <w:tcW w:type="dxa" w:w="1673"/>
            <w:shd w:fill="F2F2F2"/>
          </w:tcPr>
          <w:p>
            <w:r>
              <w:t>No</w:t>
            </w:r>
          </w:p>
        </w:tc>
        <w:tc>
          <w:tcPr>
            <w:tcW w:type="dxa" w:w="1673"/>
            <w:shd w:fill="F2F2F2"/>
          </w:tcPr>
          <w:p>
            <w:r>
              <w:t>&lt;1 μs</w:t>
            </w:r>
          </w:p>
        </w:tc>
        <w:tc>
          <w:tcPr>
            <w:tcW w:type="dxa" w:w="1673"/>
            <w:shd w:fill="F2F2F2"/>
          </w:tcPr>
          <w:p>
            <w:r>
              <w:t>Wire speed</w:t>
            </w:r>
          </w:p>
        </w:tc>
        <w:tc>
          <w:tcPr>
            <w:tcW w:type="dxa" w:w="1673"/>
            <w:shd w:fill="F2F2F2"/>
          </w:tcPr>
          <w:p>
            <w:r>
              <w:t>Partial (Bypassed on same VLAN)</w:t>
            </w:r>
          </w:p>
        </w:tc>
      </w:tr>
      <w:tr>
        <w:tc>
          <w:tcPr>
            <w:tcW w:type="dxa" w:w="1673"/>
          </w:tcPr>
          <w:p>
            <w:r>
              <w:t>4. L3/L4 Firewall</w:t>
            </w:r>
          </w:p>
        </w:tc>
        <w:tc>
          <w:tcPr>
            <w:tcW w:type="dxa" w:w="1673"/>
          </w:tcPr>
          <w:p>
            <w:r>
              <w:t>L3-4</w:t>
            </w:r>
          </w:p>
        </w:tc>
        <w:tc>
          <w:tcPr>
            <w:tcW w:type="dxa" w:w="1673"/>
          </w:tcPr>
          <w:p>
            <w:r>
              <w:t>No</w:t>
            </w:r>
          </w:p>
        </w:tc>
        <w:tc>
          <w:tcPr>
            <w:tcW w:type="dxa" w:w="1673"/>
          </w:tcPr>
          <w:p>
            <w:r>
              <w:t>50-200 μs</w:t>
            </w:r>
          </w:p>
        </w:tc>
        <w:tc>
          <w:tcPr>
            <w:tcW w:type="dxa" w:w="1673"/>
          </w:tcPr>
          <w:p>
            <w:r>
              <w:t>N/A</w:t>
            </w:r>
          </w:p>
        </w:tc>
        <w:tc>
          <w:tcPr>
            <w:tcW w:type="dxa" w:w="1673"/>
          </w:tcPr>
          <w:p>
            <w:r>
              <w:t>0% (Blind to L2 EtherType)</w:t>
            </w:r>
          </w:p>
        </w:tc>
      </w:tr>
      <w:tr>
        <w:tc>
          <w:tcPr>
            <w:tcW w:type="dxa" w:w="1673"/>
            <w:shd w:fill="F2F2F2"/>
          </w:tcPr>
          <w:p>
            <w:r>
              <w:t>5. Snort / Suricata IDS</w:t>
            </w:r>
          </w:p>
        </w:tc>
        <w:tc>
          <w:tcPr>
            <w:tcW w:type="dxa" w:w="1673"/>
            <w:shd w:fill="F2F2F2"/>
          </w:tcPr>
          <w:p>
            <w:r>
              <w:t>L7</w:t>
            </w:r>
          </w:p>
        </w:tc>
        <w:tc>
          <w:tcPr>
            <w:tcW w:type="dxa" w:w="1673"/>
            <w:shd w:fill="F2F2F2"/>
          </w:tcPr>
          <w:p>
            <w:r>
              <w:t>Yes</w:t>
            </w:r>
          </w:p>
        </w:tc>
        <w:tc>
          <w:tcPr>
            <w:tcW w:type="dxa" w:w="1673"/>
            <w:shd w:fill="F2F2F2"/>
          </w:tcPr>
          <w:p>
            <w:r>
              <w:t>100-500 μs</w:t>
            </w:r>
          </w:p>
        </w:tc>
        <w:tc>
          <w:tcPr>
            <w:tcW w:type="dxa" w:w="1673"/>
            <w:shd w:fill="F2F2F2"/>
          </w:tcPr>
          <w:p>
            <w:r>
              <w:t>100K-500K pps</w:t>
            </w:r>
          </w:p>
        </w:tc>
        <w:tc>
          <w:tcPr>
            <w:tcW w:type="dxa" w:w="1673"/>
            <w:shd w:fill="F2F2F2"/>
          </w:tcPr>
          <w:p>
            <w:r>
              <w:t>Partial (Consumes 16% budget)</w:t>
            </w:r>
          </w:p>
        </w:tc>
      </w:tr>
      <w:tr>
        <w:tc>
          <w:tcPr>
            <w:tcW w:type="dxa" w:w="1673"/>
          </w:tcPr>
          <w:p>
            <w:r>
              <w:t>6. GridPulse GOOSE IDS</w:t>
            </w:r>
          </w:p>
        </w:tc>
        <w:tc>
          <w:tcPr>
            <w:tcW w:type="dxa" w:w="1673"/>
          </w:tcPr>
          <w:p>
            <w:r>
              <w:t>L7</w:t>
            </w:r>
          </w:p>
        </w:tc>
        <w:tc>
          <w:tcPr>
            <w:tcW w:type="dxa" w:w="1673"/>
          </w:tcPr>
          <w:p>
            <w:r>
              <w:t>Yes</w:t>
            </w:r>
          </w:p>
        </w:tc>
        <w:tc>
          <w:tcPr>
            <w:tcW w:type="dxa" w:w="1673"/>
          </w:tcPr>
          <w:p>
            <w:r>
              <w:t>~10 μs</w:t>
            </w:r>
          </w:p>
        </w:tc>
        <w:tc>
          <w:tcPr>
            <w:tcW w:type="dxa" w:w="1673"/>
          </w:tcPr>
          <w:p>
            <w:r>
              <w:t>50K pps</w:t>
            </w:r>
          </w:p>
        </w:tc>
        <w:tc>
          <w:tcPr>
            <w:tcW w:type="dxa" w:w="1673"/>
          </w:tcPr>
          <w:p>
            <w:r>
              <w:t>Partial (Detection only)</w:t>
            </w:r>
          </w:p>
        </w:tc>
      </w:tr>
      <w:tr>
        <w:tc>
          <w:tcPr>
            <w:tcW w:type="dxa" w:w="1673"/>
            <w:shd w:fill="F2F2F2"/>
          </w:tcPr>
          <w:p>
            <w:r>
              <w:t>7. User-space Rate Limiter</w:t>
            </w:r>
          </w:p>
        </w:tc>
        <w:tc>
          <w:tcPr>
            <w:tcW w:type="dxa" w:w="1673"/>
            <w:shd w:fill="F2F2F2"/>
          </w:tcPr>
          <w:p>
            <w:r>
              <w:t>L4</w:t>
            </w:r>
          </w:p>
        </w:tc>
        <w:tc>
          <w:tcPr>
            <w:tcW w:type="dxa" w:w="1673"/>
            <w:shd w:fill="F2F2F2"/>
          </w:tcPr>
          <w:p>
            <w:r>
              <w:t>No</w:t>
            </w:r>
          </w:p>
        </w:tc>
        <w:tc>
          <w:tcPr>
            <w:tcW w:type="dxa" w:w="1673"/>
            <w:shd w:fill="F2F2F2"/>
          </w:tcPr>
          <w:p>
            <w:r>
              <w:t>~5 μs</w:t>
            </w:r>
          </w:p>
        </w:tc>
        <w:tc>
          <w:tcPr>
            <w:tcW w:type="dxa" w:w="1673"/>
            <w:shd w:fill="F2F2F2"/>
          </w:tcPr>
          <w:p>
            <w:r>
              <w:t>200K pps</w:t>
            </w:r>
          </w:p>
        </w:tc>
        <w:tc>
          <w:tcPr>
            <w:tcW w:type="dxa" w:w="1673"/>
            <w:shd w:fill="F2F2F2"/>
          </w:tcPr>
          <w:p>
            <w:r>
              <w:t>Partial (Userspace bottleneck)</w:t>
            </w:r>
          </w:p>
        </w:tc>
      </w:tr>
      <w:tr>
        <w:tc>
          <w:tcPr>
            <w:tcW w:type="dxa" w:w="1673"/>
          </w:tcPr>
          <w:p>
            <w:r>
              <w:t>8. GridPulse eBPF/XDP</w:t>
            </w:r>
          </w:p>
        </w:tc>
        <w:tc>
          <w:tcPr>
            <w:tcW w:type="dxa" w:w="1673"/>
          </w:tcPr>
          <w:p>
            <w:r>
              <w:t>NIC</w:t>
            </w:r>
          </w:p>
        </w:tc>
        <w:tc>
          <w:tcPr>
            <w:tcW w:type="dxa" w:w="1673"/>
          </w:tcPr>
          <w:p>
            <w:r>
              <w:t>Yes</w:t>
            </w:r>
          </w:p>
        </w:tc>
        <w:tc>
          <w:tcPr>
            <w:tcW w:type="dxa" w:w="1673"/>
          </w:tcPr>
          <w:p>
            <w:r>
              <w:t>&lt;0.5 μs</w:t>
            </w:r>
          </w:p>
        </w:tc>
        <w:tc>
          <w:tcPr>
            <w:tcW w:type="dxa" w:w="1673"/>
          </w:tcPr>
          <w:p>
            <w:r>
              <w:t>10M+ pps</w:t>
            </w:r>
          </w:p>
        </w:tc>
        <w:tc>
          <w:tcPr>
            <w:tcW w:type="dxa" w:w="1673"/>
          </w:tcPr>
          <w:p>
            <w:r>
              <w:t>100% (Pre-Verification Drop)</w:t>
            </w:r>
          </w:p>
        </w:tc>
      </w:tr>
    </w:tbl>
    <w:p/>
    <w:p>
      <w:pPr>
        <w:pStyle w:val="H1ListSpace"/>
        <w:jc w:val="left"/>
      </w:pPr>
      <w:r>
        <w:t>VIII. CONCLUSION AND OPERATIONAL GUIDELINES</w:t>
      </w:r>
    </w:p>
    <w:p>
      <w:pPr>
        <w:pStyle w:val="PARA"/>
        <w:jc w:val="left"/>
      </w:pPr>
      <w:r>
        <w:t>In this paper, we formalized and evaluated Crypto-Induced Latency Denial of Service (CIL-DoS) in IEC 61850 substations. We demonstrated that cryptographic authentication under IEC 62351-6 can be weaponized to violate hard real-time 3 ms protection deadlines without valid keys. Our M/M/1 queueing models and empirical hardware scaling demonstrated that resource-constrained relays (Cortex-M4) can be paralyzed by just 98.68 pps. Finally, we demonstrated that kernel-level eBPF/XDP filtering eliminates this attack surface at wire speed.</w:t>
      </w:r>
    </w:p>
    <w:p>
      <w:pPr>
        <w:pStyle w:val="PARA"/>
        <w:jc w:val="left"/>
      </w:pPr>
      <w:r>
        <w:t>Operational Guidelines:</w:t>
        <w:br/>
        <w:t>1) Pre-Verification Filtering: Drop malicious frames before cryptographic verification.</w:t>
        <w:br/>
        <w:t>2) Layer 2 Visibility: Firewalls must support Layer 2 EtherType 0x88B8 inspection.</w:t>
        <w:br/>
        <w:t>3) Algorithm Selection: Prefer HMAC-SHA256 where key management permits; avoid ECDSA on constrained relays.</w:t>
        <w:br/>
        <w:t>4) Verification Queue Monitoring: Monitor IED queue depth as a primary security metric.</w:t>
        <w:br/>
        <w:t>5) NIC-Level Defense: Deploy eBPF/XDP pre-filters on Linux-based substation gateways and IEDs.</w:t>
      </w:r>
    </w:p>
    <w:p>
      <w:pPr>
        <w:pStyle w:val="H1ListSpace"/>
        <w:jc w:val="left"/>
      </w:pPr>
      <w:r>
        <w:t>REFERENCES</w:t>
      </w:r>
    </w:p>
    <w:p>
      <w:pPr>
        <w:pStyle w:val="References"/>
        <w:jc w:val="left"/>
      </w:pPr>
      <w:r>
        <w:t>[1] IEC, 'Communication Networks and Systems for Power Utility Automation,' International Electrotechnical Commission Standard IEC 61850, Ed. 2.0, 2013.</w:t>
      </w:r>
    </w:p>
    <w:p>
      <w:pPr>
        <w:pStyle w:val="References"/>
        <w:jc w:val="left"/>
      </w:pPr>
      <w:r>
        <w:t>[2] IEC, 'Power Systems Management and Associated Information Exchange - Part 6: Security for IEC 61850,' IEC TS 62351-6, Ed. 2.0, 2020.</w:t>
      </w:r>
    </w:p>
    <w:p>
      <w:pPr>
        <w:pStyle w:val="References"/>
        <w:jc w:val="left"/>
      </w:pPr>
      <w:r>
        <w:t>[3] NERC, 'Critical Infrastructure Protection (CIP) Reliability Standards,' North American Electric Reliability Corporation, 2021.</w:t>
      </w:r>
    </w:p>
    <w:p>
      <w:pPr>
        <w:pStyle w:val="References"/>
        <w:jc w:val="left"/>
      </w:pPr>
      <w:r>
        <w:t>[4] L. Kleinrock, Queueing Systems, Volume I: Theory. New York: Wiley-Interscience, 1975.</w:t>
      </w:r>
    </w:p>
    <w:p>
      <w:pPr>
        <w:pStyle w:val="References"/>
        <w:jc w:val="left"/>
      </w:pPr>
      <w:r>
        <w:t>[5] J. F. C. Kingman, 'The single server queue in heavy traffic,' Proc. Cambridge Phil. Soc., vol. 57, no. 4, pp. 902–904, 1961.</w:t>
      </w:r>
    </w:p>
    <w:p>
      <w:pPr>
        <w:pStyle w:val="References"/>
        <w:jc w:val="left"/>
      </w:pPr>
      <w:r>
        <w:t>[6] T. Høiland-Jørgensen et al., 'eBPF and XDP: High-performance packet processing in the Linux kernel,' in Proc. ACM SIGCOMM, 2018, pp. 542–557.</w:t>
      </w:r>
    </w:p>
    <w:p>
      <w:pPr>
        <w:pStyle w:val="References"/>
        <w:jc w:val="left"/>
      </w:pPr>
      <w:r>
        <w:t>[7] J. Hong, C.-C. Liu, and M. Govindarasu, 'Cyber-attack impacts on power system state estimation and protection,' IEEE Trans. Smart Grid, vol. 5, no. 2, pp. 1079–1088, 2014.</w:t>
      </w:r>
    </w:p>
    <w:p>
      <w:pPr>
        <w:pStyle w:val="References"/>
        <w:jc w:val="left"/>
      </w:pPr>
      <w:r>
        <w:t>[8] S. Schuster, S. Paul, and H. P. Reiser, 'Attacks on IEC 61850 GOOSE messaging: Vulnerability analysis and countermeasure evaluation,' IEEE Trans. Ind. Informat., vol. 13, no. 4, pp. 1880–1889, 2017.</w:t>
      </w:r>
    </w:p>
    <w:p>
      <w:pPr>
        <w:pStyle w:val="References"/>
        <w:jc w:val="left"/>
      </w:pPr>
      <w:r>
        <w:t>[9] Y. Yang et al., 'Cybersecurity analysis for IEC 61850 based substation automation system,' IEEE Trans. Power Del., vol. 28, no. 4, pp. 2485–2495, 2013.</w:t>
      </w:r>
    </w:p>
    <w:p>
      <w:pPr>
        <w:pStyle w:val="References"/>
        <w:jc w:val="left"/>
      </w:pPr>
      <w:r>
        <w:t>[10] S. M. S. Hussain, T. S. Ustun, and A. Kalam, 'Real-time intrusion detection for IEC 61850 GOOSE messages in smart grids,' IEEE Access, vol. 7, pp. 112430–112440, 2019.</w:t>
      </w:r>
    </w:p>
    <w:p>
      <w:pPr>
        <w:pStyle w:val="References"/>
        <w:jc w:val="left"/>
      </w:pPr>
      <w:r>
        <w:t>[11] R. Khan et al., 'A survey on cyber-attacks and defense mechanisms in smart grid communications,' IEEE Commun. Surveys Tuts., vol. 23, no. 4, pp. 2570–2611, 2021.</w:t>
      </w:r>
    </w:p>
    <w:p>
      <w:pPr>
        <w:pStyle w:val="References"/>
        <w:jc w:val="left"/>
      </w:pPr>
      <w:r>
        <w:t>[12] I. Ali and J.-G. Choi, 'Latency analysis of digital signature verification in IEC 61850 substation automation,' IEEE Trans. Smart Grid, vol. 11, no. 5, pp. 4112–4122, 2020.</w:t>
      </w:r>
    </w:p>
    <w:p>
      <w:pPr>
        <w:pStyle w:val="References"/>
        <w:jc w:val="left"/>
      </w:pPr>
      <w:r>
        <w:t>[13] M. Parviz and H. Al-Anbagi, 'Denial of Service attacks on smart grid communication infrastructure: A review,' IEEE Access, vol. 10, pp. 34510–34528, 2022.</w:t>
      </w:r>
    </w:p>
    <w:p>
      <w:pPr>
        <w:pStyle w:val="References"/>
        <w:jc w:val="left"/>
      </w:pPr>
      <w:r>
        <w:t>[14] V. Prevelakis and D. Spinellis, 'Security challenges in modern industrial control systems: IEC 61850 focus,' Computers &amp; Security, vol. 77, pp. 112–126, 2018.</w:t>
      </w:r>
    </w:p>
    <w:p>
      <w:pPr>
        <w:pStyle w:val="References"/>
        <w:jc w:val="left"/>
      </w:pPr>
      <w:r>
        <w:t>[15] ARM, 'ARM Cortex-M4 Processor Technical Reference Manual,' ARM Ltd., 2021.</w:t>
      </w:r>
    </w:p>
    <w:p>
      <w:pPr>
        <w:pStyle w:val="References"/>
        <w:jc w:val="left"/>
      </w:pPr>
      <w:r>
        <w:t>[16] ARM, 'ARM Cortex-R5 Real-Time Processor Specifications,' ARM Ltd., 2020.</w:t>
      </w:r>
    </w:p>
    <w:p>
      <w:pPr>
        <w:pStyle w:val="H1ListSpace"/>
        <w:jc w:val="left"/>
      </w:pPr>
      <w:r>
        <w:t>AUTHOR BIOGRAPHIES</w:t>
      </w:r>
    </w:p>
    <w:p>
      <w:pPr>
        <w:pStyle w:val="AUBios"/>
        <w:jc w:val="left"/>
      </w:pPr>
      <w:r>
        <w:rPr>
          <w:b/>
          <w:i w:val="0"/>
        </w:rPr>
        <w:t xml:space="preserve">Dr. Sapna V. M. </w:t>
      </w:r>
      <w:r>
        <w:rPr>
          <w:b w:val="0"/>
          <w:i w:val="0"/>
        </w:rPr>
        <w:t>received her Ph.D. in Computer Science and Engineering from PES University, Bengaluru, India. She is currently an Associate Professor in the Department of Computer Science and Engineering at PES University. Her research interests include Cybersecurity, Digital Forensics, Threat Intelligence, Computer Networks, and Machine Learning applications in Network Security. She is a life member of the Computer Society of India (CSI).</w:t>
      </w:r>
    </w:p>
    <w:p>
      <w:pPr>
        <w:pStyle w:val="AUBios"/>
        <w:jc w:val="left"/>
      </w:pPr>
      <w:r>
        <w:rPr>
          <w:b/>
          <w:i w:val="0"/>
        </w:rPr>
        <w:t xml:space="preserve">Prasad B. H. </w:t>
      </w:r>
      <w:r>
        <w:rPr>
          <w:b w:val="0"/>
          <w:i w:val="0"/>
        </w:rPr>
        <w:t>is a researcher with the Department of Computer Science and Engineering at PES University, Bengaluru, India. His research focuses on smart grid cybersecurity, industrial control systems, and network protocol security.</w:t>
      </w:r>
    </w:p>
    <w:p>
      <w:pPr>
        <w:pStyle w:val="AUBios"/>
        <w:jc w:val="left"/>
      </w:pPr>
      <w:r>
        <w:rPr>
          <w:b/>
          <w:i w:val="0"/>
        </w:rPr>
        <w:t xml:space="preserve">Prajwal Chowdary M. </w:t>
      </w:r>
      <w:r>
        <w:rPr>
          <w:b w:val="0"/>
          <w:i w:val="0"/>
        </w:rPr>
        <w:t>is a student researcher with the Department of Computer Science and Engineering at PES University, Bengaluru, India. His research interests include high-performance packet processing, eBPF/XDP, and industrial network defense.</w:t>
      </w: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