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CareGist user manual</w:t>
      </w:r>
    </w:p>
    <w:p>
      <w:r>
        <w:t>Updated 15 October 2026. This guide explains the public directory and the two enquiry-led products. CareGist uses public CQC information about care services in England. It is independent of CQC. Check the official record before acting on care, compliance or commercial information.</w:t>
      </w:r>
    </w:p>
    <w:p>
      <w:pPr>
        <w:pStyle w:val="Heading1"/>
      </w:pPr>
      <w:r>
        <w:t>Search the directory</w:t>
      </w:r>
    </w:p>
    <w:p>
      <w:pPr>
        <w:ind w:left="288" w:hanging="288"/>
      </w:pPr>
      <w:r>
        <w:t xml:space="preserve">1. Open </w:t>
      </w:r>
      <w:hyperlink r:id="rId11">
        <w:r>
          <w:rPr>
            <w:color w:val="174D6A"/>
            <w:u w:val="single"/>
          </w:rPr>
          <w:t>Search</w:t>
        </w:r>
      </w:hyperlink>
      <w:r>
        <w:t xml:space="preserve">. Enter a provider name or place and use the displayed region, service and rating filters. Choose </w:t>
      </w:r>
      <w:r>
        <w:rPr>
          <w:b/>
        </w:rPr>
        <w:t>Update search</w:t>
      </w:r>
      <w:r>
        <w:t>.</w:t>
      </w:r>
    </w:p>
    <w:p>
      <w:pPr>
        <w:ind w:left="288" w:hanging="288"/>
      </w:pPr>
      <w:r>
        <w:t xml:space="preserve">2. Read the results and move between pages. If there are no matches, remove a filter or choose </w:t>
      </w:r>
      <w:r>
        <w:rPr>
          <w:b/>
        </w:rPr>
        <w:t>Clear filters and start again</w:t>
      </w:r>
      <w:r>
        <w:t>. An empty result is not proof that no service exists.</w:t>
      </w:r>
    </w:p>
    <w:p>
      <w:pPr>
        <w:ind w:left="288" w:hanging="288"/>
      </w:pPr>
      <w:r>
        <w:t>3. Open a result to inspect its profile, source dates and official CQC link. A registered provider is an organisation; a location is one registered site or service. Several result rows can belong to one provider.</w:t>
      </w:r>
    </w:p>
    <w:p>
      <w:pPr>
        <w:ind w:left="288" w:hanging="288"/>
      </w:pPr>
      <w:r>
        <w:t xml:space="preserve">4. Visit </w:t>
      </w:r>
      <w:hyperlink r:id="rId12">
        <w:r>
          <w:rPr>
            <w:color w:val="174D6A"/>
            <w:u w:val="single"/>
          </w:rPr>
          <w:t>Data status</w:t>
        </w:r>
      </w:hyperlink>
      <w:r>
        <w:t xml:space="preserve"> before relying on freshness or coverage. A working search does not establish that the latest directory edition has been fully reconciled.</w:t>
      </w:r>
    </w:p>
    <w:p>
      <w:r>
        <w:t>A registration date does not prove a new business opened that day. A location rating applies to the stated location and inspection record; do not apply it to every branch. Factual segments and rankings do not establish buying intent, training need, available budget or a likely inspection.</w:t>
      </w:r>
    </w:p>
    <w:p>
      <w:r>
        <w:t xml:space="preserve">If search is temporarily unavailable, retry later. If a record looks wrong, retain its URL, the disputed field and an official source link, then contact </w:t>
      </w:r>
      <w:hyperlink r:id="rId13">
        <w:r>
          <w:rPr>
            <w:color w:val="174D6A"/>
            <w:u w:val="single"/>
          </w:rPr>
          <w:t>support</w:t>
        </w:r>
      </w:hyperlink>
      <w:r>
        <w:t>. Do not include sensitive information about people receiving care.</w:t>
      </w:r>
    </w:p>
    <w:p>
      <w:pPr>
        <w:pStyle w:val="Heading1"/>
      </w:pPr>
      <w:r>
        <w:t>Choose the right enquiry</w:t>
      </w:r>
    </w:p>
    <w:tbl>
      <w:tblPr>
        <w:tblW w:type="auto" w:w="0"/>
        <w:tblLayout w:type="fixed"/>
        <w:tblLook w:firstColumn="1" w:firstRow="1" w:lastColumn="0" w:lastRow="0" w:noHBand="0" w:noVBand="1" w:val="04A0"/>
      </w:tblPr>
      <w:tblGrid>
        <w:gridCol w:w="1656"/>
        <w:gridCol w:w="3024"/>
        <w:gridCol w:w="4536"/>
      </w:tblGrid>
      <w:tr>
        <w:trPr>
          <w:tblHeader/>
          <w:cantSplit/>
        </w:trPr>
        <w:tc>
          <w:tcPr>
            <w:tcW w:type="dxa" w:w="1656"/>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Offer</w:t>
            </w:r>
          </w:p>
        </w:tc>
        <w:tc>
          <w:tcPr>
            <w:tcW w:type="dxa" w:w="3024"/>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Published price</w:t>
            </w:r>
          </w:p>
        </w:tc>
        <w:tc>
          <w:tcPr>
            <w:tcW w:type="dxa" w:w="4536"/>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What to discuss</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Free Directory</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£0</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Public search and official-source checking</w:t>
            </w:r>
          </w:p>
        </w:tc>
      </w:tr>
      <w:tr>
        <w:trPr>
          <w:cantSplit/>
        </w:trPr>
        <w:tc>
          <w:tcPr>
            <w:tcW w:type="dxa" w:w="165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Weekly Digest</w:t>
            </w:r>
          </w:p>
        </w:tc>
        <w:tc>
          <w:tcPr>
            <w:tcW w:type="dxa" w:w="3024"/>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£150 once</w:t>
            </w:r>
          </w:p>
        </w:tc>
        <w:tc>
          <w:tcPr>
            <w:tcW w:type="dxa" w:w="453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Four consecutive weekly digests for one England region; supported new registrations, rating changes and closures with source links and dates; no automatic renewal</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Territory Opportunity Brief</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£745 once</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One agreed territory, a ranked shortlist of 25 to 50 distinct provider organisations, a CSV dataset and PDF brief with evidence and a source/licence manifest</w:t>
            </w:r>
          </w:p>
        </w:tc>
      </w:tr>
    </w:tbl>
    <w:p>
      <w:pPr>
        <w:spacing w:after="40"/>
      </w:pPr>
    </w:p>
    <w:p>
      <w:r>
        <w:t>The current published wording says CareGist is not VAT registered and VAT is not currently charged. Confirm the actual order total and current terms in writing. Historical subscriptions, paid provider promotion and API plans are not current new-sale offers. Existing account entitlements are handled separately by support.</w:t>
      </w:r>
    </w:p>
    <w:p>
      <w:r>
        <w:t xml:space="preserve">Read </w:t>
      </w:r>
      <w:hyperlink r:id="rId14">
        <w:r>
          <w:rPr>
            <w:color w:val="174D6A"/>
            <w:u w:val="single"/>
          </w:rPr>
          <w:t>Pricing</w:t>
        </w:r>
      </w:hyperlink>
      <w:r>
        <w:t xml:space="preserve"> and </w:t>
      </w:r>
      <w:hyperlink r:id="rId15">
        <w:r>
          <w:rPr>
            <w:color w:val="174D6A"/>
            <w:u w:val="single"/>
          </w:rPr>
          <w:t>the Brief page</w:t>
        </w:r>
      </w:hyperlink>
      <w:r>
        <w:t xml:space="preserve">. Use the displayed enquiry link or email </w:t>
      </w:r>
      <w:hyperlink r:id="rId16">
        <w:r>
          <w:rPr>
            <w:color w:val="174D6A"/>
            <w:u w:val="single"/>
          </w:rPr>
          <w:t>outreach@caregist.co.uk</w:t>
        </w:r>
      </w:hyperlink>
      <w:r>
        <w:t>. Opening an email draft does not submit it. Send the message and retain it; ask support if you do not receive a response. Online ordering is not available for these offers.</w:t>
      </w:r>
    </w:p>
    <w:p>
      <w:r>
        <w:t>Include what your business sells, which decision the research should support, the region or authorities, provider/service types, exclusions and desired date. Do not send payment or card details with an enquiry. Coverage counts are a suitability check, not a reservation or accepted order.</w:t>
      </w:r>
    </w:p>
    <w:p>
      <w:pPr>
        <w:pStyle w:val="Heading1"/>
      </w:pPr>
      <w:r>
        <w:t>Agree the work before payment</w:t>
      </w:r>
    </w:p>
    <w:p>
      <w:r>
        <w:t>CareGist checks source availability, supported selection rules, distinct-provider quantity and staff/reviewer capacity. You and CareGist must accept the same written scope, price, terms, recipient and calendar delivery date before a payment request through an approved route.</w:t>
      </w:r>
    </w:p>
    <w:p>
      <w:r>
        <w:t>The Brief delivery target is three English working days after both written scope confirmation and source-path checking are complete. Count from the later check, with the following working day as day one; weekends and English public holidays are excluded. This is not a promise of three days from the first enquiry. Payment must be verified before production and does not restart the clock. If the date becomes unachievable, an explicit revised date must be agreed.</w:t>
      </w:r>
    </w:p>
    <w:p>
      <w:r>
        <w:t>Digest sales remain on hold pending product-specific operative terms and fulfilment approval. The published offer is an enquiry route, not an approved paid service. The Weekly Digest needs its own agreed start date, region, four issue dates, format, terms and payment arrangements. Do not apply the Brief delivery clock to it. An enquiry or sample does not establish that either paid service is ready for your scope.</w:t>
      </w:r>
    </w:p>
    <w:p>
      <w:pPr>
        <w:pStyle w:val="Heading1"/>
      </w:pPr>
      <w:r>
        <w:t>Open and use a Brief</w:t>
      </w:r>
    </w:p>
    <w:p>
      <w:r>
        <w:t>After authorised delivery, check that you can open all three items: PDF, CSV and source/licence manifest. Tell CareGist if any file is missing, denied or unreadable. Keep private access links private. A sent email or uploaded file is not confirmation that you received a usable pack.</w:t>
      </w:r>
    </w:p>
    <w:p>
      <w:r>
        <w:t>Read the PDF's scope and limitations first. In the CSV, retain provider and location identifiers as text when importing into a spreadsheet or CRM; use UTF-8, check column mapping and inspect a few rows before importing the whole file. The CSV is not an Excel workbook, and compatibility with a particular CRM must be checked. Multiple locations do not multiply the distinct-provider total.</w:t>
      </w:r>
    </w:p>
    <w:p>
      <w:r>
        <w:t>Follow each official source link and read the dates. Use the reason for inclusion to decide what to investigate. Treat the qualification question as an unanswered question, not a claim that the provider wants to buy. The manifest identifies editions, attribution and reuse limitations.</w:t>
      </w:r>
    </w:p>
    <w:p>
      <w:r>
        <w:t>Confirm access to all three files, then separately confirm whether the pack meets the agreed scope. CareGist may later ask what decision it supported; neither receipt nor acceptance guarantees a sales outcome.</w:t>
      </w:r>
    </w:p>
    <w:p>
      <w:pPr>
        <w:pStyle w:val="Heading1"/>
      </w:pPr>
      <w:r>
        <w:t>Resolve access and account problems</w:t>
      </w:r>
    </w:p>
    <w:p>
      <w:r>
        <w:t>Report the order reference, affected filename, error and time to support. Do not forward credentials, complete card data or private links into public channels. For an uncertain or duplicate payment, request reconciliation before paying again. Corrections, cancellations and refunds follow the actual agreed terms and authorised review.</w:t>
      </w:r>
    </w:p>
    <w:p>
      <w:r>
        <w:t>Where an existing account is enabled, use the normal login and password-reset routes. If a session expires, sign in again; do not interpret cached plan labels or a checkout return page as payment or entitlement confirmation. Staff CRM access is a separate restricted workflow and is not included in a Brief or Digest purchase.</w:t>
      </w:r>
    </w:p>
    <w:p>
      <w:r>
        <w:br w:type="page"/>
      </w:r>
    </w:p>
    <w:p>
      <w:pPr>
        <w:pStyle w:val="Title"/>
      </w:pPr>
      <w:r>
        <w:t>CareGist training manual</w:t>
      </w:r>
    </w:p>
    <w:p>
      <w:r>
        <w:t>Updated 15 October 2026. For Sibongile, Henry and the trainer. Use simple explanations, then ask the learner to show what they would do. This revision adds the current two-product catalogue, CRM controls, dated health limits and a shared manual set to the 11 October workbook. Training sign-off is not permission to contact, charge or deliver.</w:t>
      </w:r>
    </w:p>
    <w:p>
      <w:pPr>
        <w:pStyle w:val="Heading1"/>
      </w:pPr>
      <w:r>
        <w:t>Learn the offer and roles</w:t>
      </w:r>
    </w:p>
    <w:p>
      <w:r>
        <w:t>The buyer is a supplier or adviser. A care provider in a research list is a possible account to investigate. We do not know that it needs the buyer's service or will purchase it.</w:t>
      </w:r>
    </w:p>
    <w:p>
      <w:r>
        <w:t>The Weekly Digest is £150 once for four weekly digests in one England region. The Territory Opportunity Brief is £745 once for an agreed territory: a shortlist of 25 to 50 different provider organisations, PDF, CSV and source/licence manifest. The current published wording says no VAT is charged. Henry confirms the actual terms, invoice basis and capacity before an order. Retired subscriptions and paid listings are not current offers. Digest sales remain on hold pending product-specific operative terms and fulfilment approval; a published price is not permission to sell.</w:t>
      </w:r>
    </w:p>
    <w:p>
      <w:r>
        <w:t>Sibongile owns the assigned queue: record the real enquiry, ask missing questions, keep the owner/date clear, prepare approved work and follow up on access. Henry owns feasibility escalation, commercial decisions, payment reconciliation and release authority. A separate competent reviewer checks work they did not make or curate. A named backup needs actual access and time.</w:t>
      </w:r>
    </w:p>
    <w:p>
      <w:r>
        <w:t xml:space="preserve">Use these meanings: </w:t>
      </w:r>
      <w:r>
        <w:rPr>
          <w:b/>
        </w:rPr>
        <w:t>scope</w:t>
      </w:r>
      <w:r>
        <w:t xml:space="preserve"> is the agreed job; </w:t>
      </w:r>
      <w:r>
        <w:rPr>
          <w:b/>
        </w:rPr>
        <w:t>provider</w:t>
      </w:r>
      <w:r>
        <w:t xml:space="preserve"> is an organisation; </w:t>
      </w:r>
      <w:r>
        <w:rPr>
          <w:b/>
        </w:rPr>
        <w:t>location</w:t>
      </w:r>
      <w:r>
        <w:t xml:space="preserve"> is one registered service/site; </w:t>
      </w:r>
      <w:r>
        <w:rPr>
          <w:b/>
        </w:rPr>
        <w:t>gate</w:t>
      </w:r>
      <w:r>
        <w:t xml:space="preserve"> is a check that must pass; </w:t>
      </w:r>
      <w:r>
        <w:rPr>
          <w:b/>
        </w:rPr>
        <w:t>hash</w:t>
      </w:r>
      <w:r>
        <w:t xml:space="preserve"> identifies the exact file version; </w:t>
      </w:r>
      <w:r>
        <w:rPr>
          <w:b/>
        </w:rPr>
        <w:t>receipt</w:t>
      </w:r>
      <w:r>
        <w:t xml:space="preserve"> means the agreed buyer confirms all required files open; </w:t>
      </w:r>
      <w:r>
        <w:rPr>
          <w:b/>
        </w:rPr>
        <w:t>acceptance</w:t>
      </w:r>
      <w:r>
        <w:t xml:space="preserve"> means the buyer says the pack meets the agreed job.</w:t>
      </w:r>
    </w:p>
    <w:p>
      <w:pPr>
        <w:pStyle w:val="Heading1"/>
      </w:pPr>
      <w:r>
        <w:t>Four hour course</w:t>
      </w:r>
    </w:p>
    <w:tbl>
      <w:tblPr>
        <w:tblW w:type="auto" w:w="0"/>
        <w:tblLayout w:type="fixed"/>
        <w:tblLook w:firstColumn="1" w:firstRow="1" w:lastColumn="0" w:lastRow="0" w:noHBand="0" w:noVBand="1" w:val="04A0"/>
      </w:tblPr>
      <w:tblGrid>
        <w:gridCol w:w="1656"/>
        <w:gridCol w:w="3024"/>
        <w:gridCol w:w="4536"/>
      </w:tblGrid>
      <w:tr>
        <w:trPr>
          <w:tblHeader/>
          <w:cantSplit/>
        </w:trPr>
        <w:tc>
          <w:tcPr>
            <w:tcW w:type="dxa" w:w="1656"/>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Session</w:t>
            </w:r>
          </w:p>
        </w:tc>
        <w:tc>
          <w:tcPr>
            <w:tcW w:type="dxa" w:w="3024"/>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Minutes</w:t>
            </w:r>
          </w:p>
        </w:tc>
        <w:tc>
          <w:tcPr>
            <w:tcW w:type="dxa" w:w="4536"/>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Practice</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Offer and enquiry</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90</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20 offer/words, 20 roles, 25 qualification/scope, 25 clock/counting</w:t>
            </w:r>
          </w:p>
        </w:tc>
      </w:tr>
      <w:tr>
        <w:trPr>
          <w:cantSplit/>
        </w:trPr>
        <w:tc>
          <w:tcPr>
            <w:tcW w:type="dxa" w:w="165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Payment through receipt</w:t>
            </w:r>
          </w:p>
        </w:tc>
        <w:tc>
          <w:tcPr>
            <w:tcW w:type="dxa" w:w="3024"/>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90</w:t>
            </w:r>
          </w:p>
        </w:tc>
        <w:tc>
          <w:tcPr>
            <w:tcW w:type="dxa" w:w="453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20 gates/payment, 25 fictional review cards, 20 release/access/recovery, 25 CRM and handover</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Witnessed role play</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45</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10 enquiry, 10 scope/count, 10 review fault, 10 access recovery, 5 handover</w:t>
            </w:r>
          </w:p>
        </w:tc>
      </w:tr>
      <w:tr>
        <w:trPr>
          <w:cantSplit/>
        </w:trPr>
        <w:tc>
          <w:tcPr>
            <w:tcW w:type="dxa" w:w="165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Quiz and feedback</w:t>
            </w:r>
          </w:p>
        </w:tc>
        <w:tc>
          <w:tcPr>
            <w:tcW w:type="dxa" w:w="3024"/>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15</w:t>
            </w:r>
          </w:p>
        </w:tc>
        <w:tc>
          <w:tcPr>
            <w:tcW w:type="dxa" w:w="453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Explain answers; repeat a failed critical action before learning sign-off</w:t>
            </w:r>
          </w:p>
        </w:tc>
      </w:tr>
    </w:tbl>
    <w:p>
      <w:pPr>
        <w:spacing w:after="40"/>
      </w:pPr>
    </w:p>
    <w:p>
      <w:r>
        <w:t>The total is 240 minutes. These four hours replace other work in Sibongile's proposed 25-hour week; Henry and the trainer also reserve time. Schedule actual dates with the people involved. The original October training dates were proposals, not attendance evidence.</w:t>
      </w:r>
    </w:p>
    <w:p>
      <w:pPr>
        <w:pStyle w:val="Heading1"/>
      </w:pPr>
      <w:r>
        <w:t>Practise the nine steps</w:t>
      </w:r>
    </w:p>
    <w:p>
      <w:pPr>
        <w:ind w:left="288" w:hanging="288"/>
      </w:pPr>
      <w:r>
        <w:t xml:space="preserve">1. </w:t>
      </w:r>
      <w:r>
        <w:rPr>
          <w:b/>
        </w:rPr>
        <w:t>Receive:</w:t>
      </w:r>
      <w:r>
        <w:t xml:space="preserve"> show an actual fictional incoming message and write its reference/time. An opened email draft does not count.</w:t>
      </w:r>
    </w:p>
    <w:p>
      <w:pPr>
        <w:ind w:left="288" w:hanging="288"/>
      </w:pPr>
      <w:r>
        <w:t xml:space="preserve">2. </w:t>
      </w:r>
      <w:r>
        <w:rPr>
          <w:b/>
        </w:rPr>
        <w:t>Ask:</w:t>
      </w:r>
      <w:r>
        <w:t xml:space="preserve"> record buyer decision, service, area, provider types, exclusions, authority and date. Do not repeat fields already supplied.</w:t>
      </w:r>
    </w:p>
    <w:p>
      <w:pPr>
        <w:ind w:left="288" w:hanging="288"/>
      </w:pPr>
      <w:r>
        <w:t xml:space="preserve">3. </w:t>
      </w:r>
      <w:r>
        <w:rPr>
          <w:b/>
        </w:rPr>
        <w:t>Check:</w:t>
      </w:r>
      <w:r>
        <w:t xml:space="preserve"> show supported source, distinct-provider count and capacity. An unavailable source means hold.</w:t>
      </w:r>
    </w:p>
    <w:p>
      <w:pPr>
        <w:ind w:left="288" w:hanging="288"/>
      </w:pPr>
      <w:r>
        <w:t xml:space="preserve">4. </w:t>
      </w:r>
      <w:r>
        <w:rPr>
          <w:b/>
        </w:rPr>
        <w:t>Agree:</w:t>
      </w:r>
      <w:r>
        <w:t xml:space="preserve"> save the same scope version, price/terms, recipient and calendar date that the buyer accepts.</w:t>
      </w:r>
    </w:p>
    <w:p>
      <w:pPr>
        <w:ind w:left="288" w:hanging="288"/>
      </w:pPr>
      <w:r>
        <w:t xml:space="preserve">5. </w:t>
      </w:r>
      <w:r>
        <w:rPr>
          <w:b/>
        </w:rPr>
        <w:t>Verify:</w:t>
      </w:r>
      <w:r>
        <w:t xml:space="preserve"> match merchant-paid status, GBP amount, payer/order and refund state. A screenshot is not enough.</w:t>
      </w:r>
    </w:p>
    <w:p>
      <w:pPr>
        <w:ind w:left="288" w:hanging="288"/>
      </w:pPr>
      <w:r>
        <w:t xml:space="preserve">6. </w:t>
      </w:r>
      <w:r>
        <w:rPr>
          <w:b/>
        </w:rPr>
        <w:t>Make:</w:t>
      </w:r>
      <w:r>
        <w:t xml:space="preserve"> prepare the approved PDF, CSV and manifest with source facts and unanswered questions clearly separated.</w:t>
      </w:r>
    </w:p>
    <w:p>
      <w:pPr>
        <w:ind w:left="288" w:hanging="288"/>
      </w:pPr>
      <w:r>
        <w:t xml:space="preserve">7. </w:t>
      </w:r>
      <w:r>
        <w:rPr>
          <w:b/>
        </w:rPr>
        <w:t>Review:</w:t>
      </w:r>
      <w:r>
        <w:t xml:space="preserve"> a person who did not produce or curate the pack checks exact final files and hashes. Changed files need re-review.</w:t>
      </w:r>
    </w:p>
    <w:p>
      <w:pPr>
        <w:ind w:left="288" w:hanging="288"/>
      </w:pPr>
      <w:r>
        <w:t xml:space="preserve">8. </w:t>
      </w:r>
      <w:r>
        <w:rPr>
          <w:b/>
        </w:rPr>
        <w:t>Release:</w:t>
      </w:r>
      <w:r>
        <w:t xml:space="preserve"> obtain G6 and use the agreed recipient and approved route.</w:t>
      </w:r>
    </w:p>
    <w:p>
      <w:pPr>
        <w:ind w:left="288" w:hanging="288"/>
      </w:pPr>
      <w:r>
        <w:t xml:space="preserve">9. </w:t>
      </w:r>
      <w:r>
        <w:rPr>
          <w:b/>
        </w:rPr>
        <w:t>Confirm:</w:t>
      </w:r>
      <w:r>
        <w:t xml:space="preserve"> the buyer opens all three files and confirms. Then separately record acceptance and later usefulness.</w:t>
      </w:r>
    </w:p>
    <w:p>
      <w:r>
        <w:t xml:space="preserve">G0 to G5 must already pass before a paid commitment/payment request. Read the </w:t>
      </w:r>
      <w:hyperlink r:id="rId17">
        <w:r>
          <w:rPr>
            <w:color w:val="174D6A"/>
            <w:u w:val="single"/>
          </w:rPr>
          <w:t>operations gate table</w:t>
        </w:r>
      </w:hyperlink>
      <w:r>
        <w:t>. This short exercise does not produce those receipts or replace a full operational rehearsal.</w:t>
      </w:r>
    </w:p>
    <w:p>
      <w:pPr>
        <w:pStyle w:val="Heading1"/>
      </w:pPr>
      <w:r>
        <w:t>Trainer cards</w:t>
      </w:r>
    </w:p>
    <w:p>
      <w:r>
        <w:t xml:space="preserve">Use the following fictional order, never real prospect or payment details: Training Buyer T sells staff training, wants 25 distinct homecare provider organisations in an agreed England area, excludes current customers and proposes one recipient. Henry and Sibongile are both pretend producers. Reviewer R is a separate fictional reviewer. File cards are </w:t>
      </w:r>
      <w:r>
        <w:rPr>
          <w:b w:val="0"/>
        </w:rPr>
        <w:t>training.pdf</w:t>
      </w:r>
      <w:r>
        <w:t xml:space="preserve">, </w:t>
      </w:r>
      <w:r>
        <w:rPr>
          <w:b w:val="0"/>
        </w:rPr>
        <w:t>training.csv</w:t>
      </w:r>
      <w:r>
        <w:t xml:space="preserve">, </w:t>
      </w:r>
      <w:r>
        <w:rPr>
          <w:b w:val="0"/>
        </w:rPr>
        <w:t>training-manifest.md</w:t>
      </w:r>
      <w:r>
        <w:t>, each with a clearly fictional version label, not a claimed cryptographic hash.</w:t>
      </w:r>
    </w:p>
    <w:p>
      <w:r>
        <w:t>Give the learner one fault at a time:</w:t>
      </w:r>
    </w:p>
    <w:p>
      <w:pPr>
        <w:pStyle w:val="ListBullet"/>
      </w:pPr>
      <w:r>
        <w:t>A list has 25 rows but repeats a provider ID. Expected action: count 24 distinct providers and stop/rescope; no padding.</w:t>
      </w:r>
    </w:p>
    <w:p>
      <w:pPr>
        <w:pStyle w:val="ListBullet"/>
      </w:pPr>
      <w:r>
        <w:t>The source is unavailable or incomplete. Expected action: hold feasibility/payment and escalate with owner/date.</w:t>
      </w:r>
    </w:p>
    <w:p>
      <w:pPr>
        <w:pStyle w:val="ListBullet"/>
      </w:pPr>
      <w:r>
        <w:t>“Paid” appears only in the buyer's screenshot. Expected action: request approved merchant reconciliation; do not mark paid.</w:t>
      </w:r>
    </w:p>
    <w:p>
      <w:pPr>
        <w:pStyle w:val="ListBullet"/>
      </w:pPr>
      <w:r>
        <w:t>The CSV changes after Reviewer R's PASS. Expected action: new hashes and independent re-review before release.</w:t>
      </w:r>
    </w:p>
    <w:p>
      <w:pPr>
        <w:pStyle w:val="ListBullet"/>
      </w:pPr>
      <w:r>
        <w:t>The email was sent but the CSV is denied. Expected action: receipt stays pending, resolve authorised access, ask the agreed buyer to confirm all files.</w:t>
      </w:r>
    </w:p>
    <w:p>
      <w:pPr>
        <w:pStyle w:val="ListBullet"/>
      </w:pPr>
      <w:r>
        <w:t>CRM shows an amber/red call state or suppressed email. Expected action: stop that contact; no manual bypass.</w:t>
      </w:r>
    </w:p>
    <w:p>
      <w:r>
        <w:t>The trainer plays the buyer and Reviewer R. All cards are teaching props. A full rehearsal needs a real full-sized synthetic pack, controlled authorised route, wrong-recipient denial and independent actual-file review with separate booked capacity.</w:t>
      </w:r>
    </w:p>
    <w:p>
      <w:pPr>
        <w:pStyle w:val="Heading1"/>
      </w:pPr>
      <w:r>
        <w:t>Clock and counting quiz</w:t>
      </w:r>
    </w:p>
    <w:p>
      <w:pPr>
        <w:ind w:left="288" w:hanging="288"/>
      </w:pPr>
      <w:r>
        <w:t xml:space="preserve">1. Provider A has two locations, B one and C one. How many of each? </w:t>
      </w:r>
      <w:r>
        <w:rPr>
          <w:b/>
        </w:rPr>
        <w:t>Three providers and four locations.</w:t>
      </w:r>
      <w:r/>
    </w:p>
    <w:p>
      <w:pPr>
        <w:ind w:left="288" w:hanging="288"/>
      </w:pPr>
      <w:r>
        <w:t xml:space="preserve">2. What does a new registration prove about spending plans? </w:t>
      </w:r>
      <w:r>
        <w:rPr>
          <w:b/>
        </w:rPr>
        <w:t>Nothing about intent or budget.</w:t>
      </w:r>
      <w:r/>
    </w:p>
    <w:p>
      <w:pPr>
        <w:ind w:left="288" w:hanging="288"/>
      </w:pPr>
      <w:r>
        <w:t xml:space="preserve">3. Scope is confirmed Tuesday 27 October 2026 and source checked Wednesday 28 October. What is the three-working-day target? </w:t>
      </w:r>
      <w:r>
        <w:rPr>
          <w:b/>
        </w:rPr>
        <w:t>Monday 2 November: Thursday, Friday, Monday.</w:t>
      </w:r>
      <w:r>
        <w:t xml:space="preserve"> This fictional example assumes no intervening English holiday.</w:t>
      </w:r>
    </w:p>
    <w:p>
      <w:pPr>
        <w:ind w:left="288" w:hanging="288"/>
      </w:pPr>
      <w:r>
        <w:t xml:space="preserve">4. Does late payment restart that clock? </w:t>
      </w:r>
      <w:r>
        <w:rPr>
          <w:b/>
        </w:rPr>
        <w:t>No. Verify payment before production; retain the date if achievable, otherwise Henry agrees a revised written date.</w:t>
      </w:r>
      <w:r/>
    </w:p>
    <w:p>
      <w:pPr>
        <w:ind w:left="288" w:hanging="288"/>
      </w:pPr>
      <w:r>
        <w:t xml:space="preserve">5. Can Henry review a pack he edited? </w:t>
      </w:r>
      <w:r>
        <w:rPr>
          <w:b/>
        </w:rPr>
        <w:t>He cannot supply its independent review.</w:t>
      </w:r>
      <w:r/>
    </w:p>
    <w:p>
      <w:pPr>
        <w:ind w:left="288" w:hanging="288"/>
      </w:pPr>
      <w:r>
        <w:t xml:space="preserve">6. The PDF opens but the manifest is missing. Is receipt confirmed? </w:t>
      </w:r>
      <w:r>
        <w:rPr>
          <w:b/>
        </w:rPr>
        <w:t>No. All three must open and the agreed buyer must confirm.</w:t>
      </w:r>
      <w:r/>
    </w:p>
    <w:p>
      <w:pPr>
        <w:ind w:left="288" w:hanging="288"/>
      </w:pPr>
      <w:r>
        <w:t xml:space="preserve">7. Does deployment or training sign-off open checkout? </w:t>
      </w:r>
      <w:r>
        <w:rPr>
          <w:b/>
        </w:rPr>
        <w:t>No. Each named gate needs its own evidence/authority.</w:t>
      </w:r>
      <w:r/>
    </w:p>
    <w:p>
      <w:pPr>
        <w:ind w:left="288" w:hanging="288"/>
      </w:pPr>
      <w:r>
        <w:t xml:space="preserve">8. Does green CRM call status authorise the whole campaign? </w:t>
      </w:r>
      <w:r>
        <w:rPr>
          <w:b/>
        </w:rPr>
        <w:t>No. Campaign authority and approved copy are also needed.</w:t>
      </w:r>
      <w:r/>
    </w:p>
    <w:p>
      <w:pPr>
        <w:pStyle w:val="Heading1"/>
      </w:pPr>
      <w:r>
        <w:t>Handover and learning record</w:t>
      </w:r>
    </w:p>
    <w:p>
      <w:r>
        <w:t>For the fictional order, record reference, buyer decision, source/version/date, scope version and acceptance, distinct providers/locations, payment status/reference, original/revised deadline, producer/reviewer, final filenames/hashes, recipient/route authority, release/access/acceptance times, open issue, owner and next date. Real records stay private.</w:t>
      </w:r>
    </w:p>
    <w:p>
      <w:r>
        <w:t>The trainer records learner/date, exercised scenarios, observed result, missed critical actions and retraining. Before learning sign-off, witness correct stopping behaviour for every fault card and correct the clock/count/payment/receipt answers. If incomplete, mark training pending. Even a passed learning record leaves source, outreach, payment and release approvals separate.</w:t>
      </w:r>
    </w:p>
    <w:p>
      <w:r>
        <w:t xml:space="preserve">Daily practice: open the staffed queue, check deadlines/source/payment/access exceptions, act only within approvals, record actual labour, and hand over every open issue with an owner and next date. Use the </w:t>
      </w:r>
      <w:hyperlink r:id="rId18">
        <w:r>
          <w:rPr>
            <w:color w:val="174D6A"/>
            <w:u w:val="single"/>
          </w:rPr>
          <w:t>user</w:t>
        </w:r>
      </w:hyperlink>
      <w:r>
        <w:t xml:space="preserve">, </w:t>
      </w:r>
      <w:hyperlink r:id="rId19">
        <w:r>
          <w:rPr>
            <w:color w:val="174D6A"/>
            <w:u w:val="single"/>
          </w:rPr>
          <w:t>sales</w:t>
        </w:r>
      </w:hyperlink>
      <w:r>
        <w:t xml:space="preserve">, </w:t>
      </w:r>
      <w:hyperlink r:id="rId20">
        <w:r>
          <w:rPr>
            <w:color w:val="174D6A"/>
            <w:u w:val="single"/>
          </w:rPr>
          <w:t>CRM</w:t>
        </w:r>
      </w:hyperlink>
      <w:r>
        <w:t xml:space="preserve"> and </w:t>
      </w:r>
      <w:hyperlink r:id="rId17">
        <w:r>
          <w:rPr>
            <w:color w:val="174D6A"/>
            <w:u w:val="single"/>
          </w:rPr>
          <w:t>operations</w:t>
        </w:r>
      </w:hyperlink>
      <w:r>
        <w:t xml:space="preserve"> manuals at the point of work.</w:t>
      </w:r>
    </w:p>
    <w:p>
      <w:r>
        <w:br w:type="page"/>
      </w:r>
    </w:p>
    <w:p>
      <w:pPr>
        <w:pStyle w:val="Title"/>
      </w:pPr>
      <w:r>
        <w:t>CareGist sales GTM manual</w:t>
      </w:r>
    </w:p>
    <w:p>
      <w:r>
        <w:t>Updated 15 October 2026. For Henry, Sibongile and authorised sales staff. The immediate job is to establish whether a supplier has a real regional research or monitoring need and whether CareGist can fulfil it. This manual contains draft talk tracks, not permission to run an outreach campaign.</w:t>
      </w:r>
    </w:p>
    <w:p>
      <w:pPr>
        <w:pStyle w:val="Heading1"/>
      </w:pPr>
      <w:r>
        <w:t>Position the current offers</w:t>
      </w:r>
    </w:p>
    <w:p>
      <w:r>
        <w:t>The buyer is a business selling into or advising the care sector. A care provider appearing in a shortlist is a research subject, not an assumed buyer of CareGist or a warm lead. Start with the buyer's decision, region and current research process.</w:t>
      </w:r>
    </w:p>
    <w:tbl>
      <w:tblPr>
        <w:tblW w:type="auto" w:w="0"/>
        <w:tblLayout w:type="fixed"/>
        <w:tblLook w:firstColumn="1" w:firstRow="1" w:lastColumn="0" w:lastRow="0" w:noHBand="0" w:noVBand="1" w:val="04A0"/>
      </w:tblPr>
      <w:tblGrid>
        <w:gridCol w:w="1656"/>
        <w:gridCol w:w="3024"/>
        <w:gridCol w:w="4536"/>
      </w:tblGrid>
      <w:tr>
        <w:trPr>
          <w:tblHeader/>
          <w:cantSplit/>
        </w:trPr>
        <w:tc>
          <w:tcPr>
            <w:tcW w:type="dxa" w:w="1656"/>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Buyer job</w:t>
            </w:r>
          </w:p>
        </w:tc>
        <w:tc>
          <w:tcPr>
            <w:tcW w:type="dxa" w:w="3024"/>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Offer</w:t>
            </w:r>
          </w:p>
        </w:tc>
        <w:tc>
          <w:tcPr>
            <w:tcW w:type="dxa" w:w="4536"/>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Published fee and boundary</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Keep track of supported public changes each week</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Weekly Digest</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£150 once, one England region, four weekly digests, no automatic renewal</w:t>
            </w:r>
          </w:p>
        </w:tc>
      </w:tr>
      <w:tr>
        <w:trPr>
          <w:cantSplit/>
        </w:trPr>
        <w:tc>
          <w:tcPr>
            <w:tcW w:type="dxa" w:w="165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Decide which accounts to investigate in a territory</w:t>
            </w:r>
          </w:p>
        </w:tc>
        <w:tc>
          <w:tcPr>
            <w:tcW w:type="dxa" w:w="3024"/>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Territory Opportunity Brief</w:t>
            </w:r>
          </w:p>
        </w:tc>
        <w:tc>
          <w:tcPr>
            <w:tcW w:type="dxa" w:w="453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£745 once, agreed scope, 25 to 50 distinct provider organisations, PDF/CSV/source manifest</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Look up a provider and verify its official record</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Free Directory</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£0, public search</w:t>
            </w:r>
          </w:p>
        </w:tc>
      </w:tr>
    </w:tbl>
    <w:p>
      <w:pPr>
        <w:spacing w:after="40"/>
      </w:pPr>
    </w:p>
    <w:p>
      <w:r>
        <w:t>No VAT is currently charged under the published wording; Henry confirms the actual order and invoice basis. Do not sell retired Radar subscriptions, paid listing promotion, bulk datasets or API entitlements from older packs. Do not promise contacts, CRM compatibility, exclusivity, procurement intent, compliance advice or revenue that the agreed product does not supply.</w:t>
      </w:r>
    </w:p>
    <w:p>
      <w:r>
        <w:t>Draft introduction for an authorised conversation: “CareGist helps teams investigate care organisations using public CQC records. Are you trying to choose accounts in a territory, or keep up with changes in one region?”</w:t>
      </w:r>
    </w:p>
    <w:p>
      <w:r>
        <w:t>CareGist is independent of CQC. Registration and rating facts do not predict inspections, demand, budget or future ratings. A prioritisation score is a research method, not a probability of purchase. Use current public claims and source dates; a saved sample is not current coverage proof.</w:t>
      </w:r>
    </w:p>
    <w:p>
      <w:r>
        <w:t>Digest sales remain on hold until product-specific operative terms and fulfilment approval are evidenced. Use the published offer for suitability enquiries only while that hold remains. No terms or fulfilment approval is created by this revision.</w:t>
      </w:r>
    </w:p>
    <w:p>
      <w:pPr>
        <w:pStyle w:val="Heading1"/>
      </w:pPr>
      <w:r>
        <w:t>Qualify without repeating the buyer</w:t>
      </w:r>
    </w:p>
    <w:p>
      <w:r>
        <w:t>Record the buyer's own answers, with source/time and unresolved questions:</w:t>
      </w:r>
    </w:p>
    <w:p>
      <w:pPr>
        <w:ind w:left="288" w:hanging="288"/>
      </w:pPr>
      <w:r>
        <w:t>1. What do you sell, and to which provider or service types?</w:t>
      </w:r>
    </w:p>
    <w:p>
      <w:pPr>
        <w:ind w:left="288" w:hanging="288"/>
      </w:pPr>
      <w:r>
        <w:t>2. Which territory or account decision are you making, and by when?</w:t>
      </w:r>
    </w:p>
    <w:p>
      <w:pPr>
        <w:ind w:left="288" w:hanging="288"/>
      </w:pPr>
      <w:r>
        <w:t>3. How do you research or monitor it today, and what is missing?</w:t>
      </w:r>
    </w:p>
    <w:p>
      <w:pPr>
        <w:ind w:left="288" w:hanging="288"/>
      </w:pPr>
      <w:r>
        <w:t>4. What facts would include or exclude an organisation? Which existing customers or groups should be excluded?</w:t>
      </w:r>
    </w:p>
    <w:p>
      <w:pPr>
        <w:ind w:left="288" w:hanging="288"/>
      </w:pPr>
      <w:r>
        <w:t>5. Which sample entry would you actually investigate, and why? What remains unknown?</w:t>
      </w:r>
    </w:p>
    <w:p>
      <w:pPr>
        <w:ind w:left="288" w:hanging="288"/>
      </w:pPr>
      <w:r>
        <w:t>6. Who approves a purchase and the scope? Does the relevant one-off fee fit this job?</w:t>
      </w:r>
    </w:p>
    <w:p>
      <w:r>
        <w:t xml:space="preserve">Use asynchronous clarification where the enquiry is complete; a call is useful when there is genuine ambiguity. Choose </w:t>
      </w:r>
      <w:r>
        <w:rPr>
          <w:b/>
        </w:rPr>
        <w:t>Brief</w:t>
      </w:r>
      <w:r>
        <w:t xml:space="preserve">, </w:t>
      </w:r>
      <w:r>
        <w:rPr>
          <w:b/>
        </w:rPr>
        <w:t>Digest</w:t>
      </w:r>
      <w:r>
        <w:t xml:space="preserve">, </w:t>
      </w:r>
      <w:r>
        <w:rPr>
          <w:b/>
        </w:rPr>
        <w:t>rescope</w:t>
      </w:r>
      <w:r>
        <w:t xml:space="preserve">, </w:t>
      </w:r>
      <w:r>
        <w:rPr>
          <w:b/>
        </w:rPr>
        <w:t>not a fit</w:t>
      </w:r>
      <w:r>
        <w:t xml:space="preserve">, or </w:t>
      </w:r>
      <w:r>
        <w:rPr>
          <w:b/>
        </w:rPr>
        <w:t>pending information</w:t>
      </w:r>
      <w:r>
        <w:t>, with the next action, owner and date. The source owner checks feasibility. No unsupported category, inadequate provider count or unstaffed deadline should become an order.</w:t>
      </w:r>
    </w:p>
    <w:p>
      <w:pPr>
        <w:pStyle w:val="Heading1"/>
      </w:pPr>
      <w:r>
        <w:t>Demonstrate the evidence</w:t>
      </w:r>
    </w:p>
    <w:p>
      <w:r>
        <w:t>Show a permitted sample through an approved route. Identify a provider, its scoped location(s), the source and dates, the factual reason for inclusion and the question still unanswered. If using the 11 October West Midlands demonstration, disclose its dated sources and illustrative buyer; it is not a live customer result, a typical market or proof of buying intent. Keep prospect data and unsent proposals private.</w:t>
      </w:r>
    </w:p>
    <w:p>
      <w:r>
        <w:t>Draft answers for an authorised discussion:</w:t>
      </w:r>
    </w:p>
    <w:tbl>
      <w:tblPr>
        <w:tblW w:type="auto" w:w="0"/>
        <w:tblLayout w:type="fixed"/>
        <w:tblLook w:firstColumn="1" w:firstRow="1" w:lastColumn="0" w:lastRow="0" w:noHBand="0" w:noVBand="1" w:val="04A0"/>
      </w:tblPr>
      <w:tblGrid>
        <w:gridCol w:w="3168"/>
        <w:gridCol w:w="6048"/>
      </w:tblGrid>
      <w:tr>
        <w:trPr>
          <w:tblHeader/>
          <w:cantSplit/>
        </w:trPr>
        <w:tc>
          <w:tcPr>
            <w:tcW w:type="dxa" w:w="3168"/>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Buyer question</w:t>
            </w:r>
          </w:p>
        </w:tc>
        <w:tc>
          <w:tcPr>
            <w:tcW w:type="dxa" w:w="6048"/>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Supported response</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“Are these ready-to-buy leads?”</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“They are organisations to investigate. Public records do not tell us who intends to buy.”</w:t>
            </w:r>
          </w:p>
        </w:tc>
      </w:tr>
      <w:tr>
        <w:trPr>
          <w:cantSplit/>
        </w:trPr>
        <w:tc>
          <w:tcPr>
            <w:tcW w:type="dxa" w:w="316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“Can you guarantee 25 in my exact segment?”</w:t>
            </w:r>
          </w:p>
        </w:tc>
        <w:tc>
          <w:tcPr>
            <w:tcW w:type="dxa" w:w="604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“We check the distinct-provider set and exclusions before agreeing the quantity or asking for payment.”</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“Will I receive it three days after this enquiry?”</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“For a Brief, the target follows written scope confirmation and the source check. We agree an actual calendar date.”</w:t>
            </w:r>
          </w:p>
        </w:tc>
      </w:tr>
      <w:tr>
        <w:trPr>
          <w:cantSplit/>
        </w:trPr>
        <w:tc>
          <w:tcPr>
            <w:tcW w:type="dxa" w:w="316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“Can I upload the CSV to my CRM?”</w:t>
            </w:r>
          </w:p>
        </w:tc>
        <w:tc>
          <w:tcPr>
            <w:tcW w:type="dxa" w:w="604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“We supply a CSV. We need to check your field mapping and import before promising compatibility.”</w:t>
            </w:r>
          </w:p>
        </w:tc>
      </w:tr>
      <w:tr>
        <w:trPr>
          <w:cantSplit/>
        </w:trPr>
        <w:tc>
          <w:tcPr>
            <w:tcW w:type="dxa" w:w="316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“Can I order online?”</w:t>
            </w:r>
          </w:p>
        </w:tc>
        <w:tc>
          <w:tcPr>
            <w:tcW w:type="dxa" w:w="6048"/>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“Please send your scope. We confirm suitability, availability, terms and delivery before an approved payment request.”</w:t>
            </w:r>
          </w:p>
        </w:tc>
      </w:tr>
      <w:tr>
        <w:trPr>
          <w:cantSplit/>
        </w:trPr>
        <w:tc>
          <w:tcPr>
            <w:tcW w:type="dxa" w:w="316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“Does CQC endorse it?”</w:t>
            </w:r>
          </w:p>
        </w:tc>
        <w:tc>
          <w:tcPr>
            <w:tcW w:type="dxa" w:w="6048"/>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“No. CareGist is independent and links to the public source records.”</w:t>
            </w:r>
          </w:p>
        </w:tc>
      </w:tr>
    </w:tbl>
    <w:p>
      <w:pPr>
        <w:spacing w:after="40"/>
      </w:pPr>
    </w:p>
    <w:p>
      <w:pPr>
        <w:pStyle w:val="Heading1"/>
      </w:pPr>
      <w:r>
        <w:t>Agree a concrete next step</w:t>
      </w:r>
    </w:p>
    <w:p>
      <w:r>
        <w:t xml:space="preserve">Capture the accepted written scope and its version. The </w:t>
      </w:r>
      <w:hyperlink r:id="rId17">
        <w:r>
          <w:rPr>
            <w:color w:val="174D6A"/>
            <w:u w:val="single"/>
          </w:rPr>
          <w:t>operations manual</w:t>
        </w:r>
      </w:hyperlink>
      <w:r>
        <w:t xml:space="preserve"> defines G0 to G5 before any paid commitment or payment request, then G6 before release. The buyer's enthusiasm does not pass those gates. Do not issue an invoice, payment link or refund on your own authority.</w:t>
      </w:r>
    </w:p>
    <w:p>
      <w:r>
        <w:t>For a Digest, agree one region, buyer type, four issue dates, supported signals, format, delivery route and terms. Include closures only where source evidence supports them; missing observations do not prove closure. For a Brief, freeze geography, provider/service predicates, time window, exclusions, counting/ranking, source, quantity, files, recipient, fee/terms and calendar date.</w:t>
      </w:r>
    </w:p>
    <w:p>
      <w:pPr>
        <w:pStyle w:val="Heading1"/>
      </w:pPr>
      <w:r>
        <w:t>Run only authorised outreach</w:t>
      </w:r>
    </w:p>
    <w:p>
      <w:r>
        <w:t>Before a marketing call or send, verify campaign permission, recipient provenance, relevance, applicable channel controls, suppression and exact approved copy. CRM permission checks are necessary controls and do not independently authorise a campaign. Unknown or stale permission remains a hold. Stop on an opt-out and record it immediately in the approved system. Do not infer corporate status or permission from a public email address.</w:t>
      </w:r>
    </w:p>
    <w:p>
      <w:r>
        <w:t>Use only an approved business identity, route and staffed reply queue. Recording and AI need their separate controls. Do not route around an amber/red call block or send manually to bypass a campaign restriction. Escalate complaints, money exceptions and unsupported requests to Henry. No contact, spend or external send is performed by preparing this manual.</w:t>
      </w:r>
    </w:p>
    <w:p>
      <w:pPr>
        <w:pStyle w:val="Heading1"/>
      </w:pPr>
      <w:r>
        <w:t>Measure outcomes truthfully</w:t>
      </w:r>
    </w:p>
    <w:p>
      <w:r>
        <w:t>Use unique linked enquiry/order records in the private register. Keep researched, authorised contact, replied, qualified, scope accepted, payment requested, merchant-verified paid, reviewed release, usable receipt, acceptance and later usefulness separate. Record loss reasons and still-open cases.</w:t>
      </w:r>
    </w:p>
    <w:p>
      <w:r>
        <w:t>CTA clicks are intent. Payment is a reconciled merchant record. Receipt is the agreed buyer confirming all required files open. Acceptance is the buyer confirming the agreed scope was met. Usefulness is the buyer's later stated decision/action. Do not convert any of these into another stage.</w:t>
      </w:r>
    </w:p>
    <w:p>
      <w:r>
        <w:t>Review one matured cohort each week: enquiries, qualified decisions, accepted scopes, verified paid orders, actual labour, release/access timeliness, corrections and buyer-reported use. Show pending cases and the original/revised dates. There is no evidenced conversion uplift, optimum price or guaranteed capacity in this manual. Staff time spent training or recovering an order reduces prospecting/production capacity.</w:t>
      </w:r>
    </w:p>
    <w:p>
      <w:r>
        <w:br w:type="page"/>
      </w:r>
    </w:p>
    <w:p>
      <w:pPr>
        <w:pStyle w:val="Title"/>
      </w:pPr>
      <w:r>
        <w:t>CareGist CRM manual</w:t>
      </w:r>
    </w:p>
    <w:p>
      <w:r>
        <w:t>Updated 15 October 2026. For authorised organisation members. CRM is a restricted staff workspace, not a feature included in the current public Brief or Digest. These instructions describe implemented controls; they do not certify live calls, campaigns, recordings or AI. Anonymous access was observed redirecting to login. No authenticated production workflow was exercised for this revision.</w:t>
      </w:r>
    </w:p>
    <w:p>
      <w:pPr>
        <w:pStyle w:val="Heading1"/>
      </w:pPr>
      <w:r>
        <w:t>Sign in and choose the right workspace</w:t>
      </w:r>
    </w:p>
    <w:p>
      <w:r>
        <w:t xml:space="preserve">Open </w:t>
      </w:r>
      <w:hyperlink r:id="rId21">
        <w:r>
          <w:rPr>
            <w:color w:val="174D6A"/>
            <w:u w:val="single"/>
          </w:rPr>
          <w:t>CRM</w:t>
        </w:r>
      </w:hyperlink>
      <w:r>
        <w:t xml:space="preserve"> and sign in with your assigned account. A manager must establish membership and role. If access fails, ask the manager to check the organisation and role; do not share credentials or use another person's session. On expiry, sign in again. Keep customer, prospect and payment records in the approved private workspace.</w:t>
      </w:r>
    </w:p>
    <w:p>
      <w:r>
        <w:t>Check the workspace summary and feature status before working. A visible tab does not mean the underlying feature is enabled. Current public health reported calling enabled while recording, AI and TPS automation were disabled; this is a configuration observation and not campaign approval or a successful call test.</w:t>
      </w:r>
    </w:p>
    <w:p>
      <w:pPr>
        <w:pStyle w:val="Heading1"/>
      </w:pPr>
      <w:r>
        <w:t>Work contacts and tasks</w:t>
      </w:r>
    </w:p>
    <w:p>
      <w:r>
        <w:t xml:space="preserve">In </w:t>
      </w:r>
      <w:r>
        <w:rPr>
          <w:b/>
        </w:rPr>
        <w:t>Call queue</w:t>
      </w:r>
      <w:r>
        <w:t>, select the intended contact and check company/provider identity, telephone number, lifecycle stage, permission status and existing notes before creating another record. A public provider record is not evidence of interest or permission. Resolve duplicates through the manager's process; do not combine different organisations simply because names match.</w:t>
      </w:r>
    </w:p>
    <w:p>
      <w:r>
        <w:t>Record factual conversation notes and the source of any statement. Add a task with type, title, due time and priority, then verify it appears. Update lifecycle/deal stage only after the underlying event occurs. A deal marked won does not independently establish merchant payment or customer receipt.</w:t>
      </w:r>
    </w:p>
    <w:p>
      <w:r>
        <w:t>If a save fails, retain the visible error and refresh/check whether the record exists before retrying. Do not repeatedly create duplicate contacts, tasks or payments. Report the time, affected reference and error to the manager without exposing private data in public logs.</w:t>
      </w:r>
    </w:p>
    <w:p>
      <w:pPr>
        <w:pStyle w:val="Heading1"/>
      </w:pPr>
      <w:r>
        <w:t>Place a permitted call</w:t>
      </w:r>
    </w:p>
    <w:p>
      <w:r>
        <w:t>Confirm independent campaign authority and approved script first. Select the correct contact and obey the call eligibility shown by the system. Unknown, stale, suppressed or blocked status requires resolution by the authorised manager. A green status is a permission-control result and is not proof that the buyer wants a call or that the campaign is approved.</w:t>
      </w:r>
    </w:p>
    <w:p>
      <w:r>
        <w:t>Allow browser microphone access only for the approved calling workspace. If calling or device setup fails, keep the failed state visible and ask the manager; do not bypass the authorisation step with a personal phone. Test-number restrictions, when enabled, must remain in force.</w:t>
      </w:r>
    </w:p>
    <w:p>
      <w:r>
        <w:t xml:space="preserve">Finish the call and record its actual outcome/disposition and next task. Resolve a pending disposition before starting another call when prompted. If someone asks not to be called, use the completed call outcome </w:t>
      </w:r>
      <w:r>
        <w:rPr>
          <w:b/>
        </w:rPr>
        <w:t>Do not call</w:t>
      </w:r>
      <w:r>
        <w:t xml:space="preserve">, then </w:t>
      </w:r>
      <w:r>
        <w:rPr>
          <w:b/>
        </w:rPr>
        <w:t>Don't call me again</w:t>
      </w:r>
      <w:r>
        <w:t xml:space="preserve"> in </w:t>
      </w:r>
      <w:r>
        <w:rPr>
          <w:b/>
        </w:rPr>
        <w:t>Call queue</w:t>
      </w:r>
      <w:r>
        <w:t>, and verify the call block. For an email or all-channel opt-out, stop contact immediately and ask the authorised manager to apply the approved suppression process; the email-permission form has no general suppression checkbox. Record the request and verify the relevant block before any further marketing. A lifecycle label alone does not prove suppression.</w:t>
      </w:r>
    </w:p>
    <w:p>
      <w:pPr>
        <w:pStyle w:val="Heading1"/>
      </w:pPr>
      <w:r>
        <w:t>Manager controls</w:t>
      </w:r>
    </w:p>
    <w:p>
      <w:r>
        <w:t xml:space="preserve">Open </w:t>
      </w:r>
      <w:r>
        <w:rPr>
          <w:b/>
        </w:rPr>
        <w:t>Safety</w:t>
      </w:r>
      <w:r>
        <w:t xml:space="preserve">. Only an authorised manager uses </w:t>
      </w:r>
      <w:r>
        <w:rPr>
          <w:b/>
        </w:rPr>
        <w:t>Workspace team</w:t>
      </w:r>
      <w:r>
        <w:t xml:space="preserve">, </w:t>
      </w:r>
      <w:r>
        <w:rPr>
          <w:b/>
        </w:rPr>
        <w:t>Import TPS/CTPS results</w:t>
      </w:r>
      <w:r>
        <w:t xml:space="preserve">, </w:t>
      </w:r>
      <w:r>
        <w:rPr>
          <w:b/>
        </w:rPr>
        <w:t>Check one contact</w:t>
      </w:r>
      <w:r>
        <w:t xml:space="preserve"> and </w:t>
      </w:r>
      <w:r>
        <w:rPr>
          <w:b/>
        </w:rPr>
        <w:t>Email permission</w:t>
      </w:r>
      <w:r>
        <w:t>. Membership changes require the correct organisation and least necessary role.</w:t>
      </w:r>
    </w:p>
    <w:p>
      <w:r>
        <w:t xml:space="preserve">Screening import requires an approved source and reference with CSV columns </w:t>
      </w:r>
      <w:r>
        <w:rPr>
          <w:b w:val="0"/>
        </w:rPr>
        <w:t>phone_e164</w:t>
      </w:r>
      <w:r>
        <w:t xml:space="preserve">, </w:t>
      </w:r>
      <w:r>
        <w:rPr>
          <w:b w:val="0"/>
        </w:rPr>
        <w:t>status</w:t>
      </w:r>
      <w:r>
        <w:t xml:space="preserve">, </w:t>
      </w:r>
      <w:r>
        <w:rPr>
          <w:b w:val="0"/>
        </w:rPr>
        <w:t>screened_at</w:t>
      </w:r>
      <w:r>
        <w:t xml:space="preserve">; the interface accepts </w:t>
      </w:r>
      <w:r>
        <w:rPr>
          <w:b w:val="0"/>
        </w:rPr>
        <w:t>clear</w:t>
      </w:r>
      <w:r>
        <w:t xml:space="preserve">, </w:t>
      </w:r>
      <w:r>
        <w:rPr>
          <w:b w:val="0"/>
        </w:rPr>
        <w:t>tps</w:t>
      </w:r>
      <w:r>
        <w:t xml:space="preserve">, </w:t>
      </w:r>
      <w:r>
        <w:rPr>
          <w:b w:val="0"/>
        </w:rPr>
        <w:t>ctps</w:t>
      </w:r>
      <w:r>
        <w:t xml:space="preserve"> or </w:t>
      </w:r>
      <w:r>
        <w:rPr>
          <w:b w:val="0"/>
        </w:rPr>
        <w:t>invalid</w:t>
      </w:r>
      <w:r>
        <w:t>. Check the import result and affected counts. A one-contact screening entry needs auditable source/reference evidence; specific-consent override is not a shortcut for missing evidence. Do not fabricate a current timestamp to refresh an old check.</w:t>
      </w:r>
    </w:p>
    <w:p>
      <w:r>
        <w:t>Email permission records subscriber type, basis and evidence. Select a supported status only from actual evidence. Unknown stays unknown. Suppression takes precedence over eligibility. The present interface keeps UK SMS disabled; a normal email permission record does not enable SMS.</w:t>
      </w:r>
    </w:p>
    <w:p>
      <w:r>
        <w:t>Campaign creation, recipient selection and sending require separate approval, enabled functionality and eligible recipients. Check exact recipients, copy, sender identity and suppression before an authorised send. This manual does not request a live campaign, a screening import or membership change.</w:t>
      </w:r>
    </w:p>
    <w:p>
      <w:pPr>
        <w:pStyle w:val="Heading1"/>
      </w:pPr>
      <w:r>
        <w:t>Review calls and recover</w:t>
      </w:r>
    </w:p>
    <w:p>
      <w:r>
        <w:t xml:space="preserve">Open </w:t>
      </w:r>
      <w:r>
        <w:rPr>
          <w:b/>
        </w:rPr>
        <w:t>Reports</w:t>
      </w:r>
      <w:r>
        <w:t xml:space="preserve">. Where authorised and enabled, </w:t>
      </w:r>
      <w:r>
        <w:rPr>
          <w:b/>
        </w:rPr>
        <w:t>Recent calls</w:t>
      </w:r>
      <w:r>
        <w:t xml:space="preserve"> shows call state, duration and disposition. Recording playback, transcript and AI evaluation depend on separate feature and access controls. An AI summary is advisory: compare material statements with the authorised recording or source, and correct records through the approved process. Do not represent an AI score as a customer statement.</w:t>
      </w:r>
    </w:p>
    <w:p>
      <w:r>
        <w:t>The interface describes a 30-day retention cycle for call intelligence; actual retention and access are governed by the approved configuration and policy. If a recording or transcript has been purged, do not promise recovery. Report failed processing or missing disposition with its reference to the manager.</w:t>
      </w:r>
    </w:p>
    <w:p>
      <w:r>
        <w:t>Managers own screening/permission failures, wrong-organisation access, complaints and feature exceptions. For an apparent cross-organisation record, stop access, retain only the necessary private incident reference and escalate. A failed API or unavailable feature must remain failed until observed recovery; do not mark a contact, call or campaign complete on a button click alone.</w:t>
      </w:r>
    </w:p>
    <w:p>
      <w:r>
        <w:br w:type="page"/>
      </w:r>
    </w:p>
    <w:p>
      <w:pPr>
        <w:pStyle w:val="Title"/>
      </w:pPr>
      <w:r>
        <w:t>CareGist operations manual</w:t>
      </w:r>
    </w:p>
    <w:p>
      <w:r>
        <w:t>Updated 15 October 2026. For the commercial owner, source owner, producer, independent reviewer and release operator. The process below is conditional on evidence and approvals. It does not enable checkout, collectors, delivery, leads, claims or exports.</w:t>
      </w:r>
    </w:p>
    <w:p>
      <w:pPr>
        <w:pStyle w:val="Heading1"/>
      </w:pPr>
      <w:r>
        <w:t>Establish ownership and gates</w:t>
      </w:r>
    </w:p>
    <w:p>
      <w:r>
        <w:t>Use one approved restricted enquiry/order register and one private evidence folder per order. Assign an owner, backup and independent reviewer with actual access and reserved time. A producer, editor or curator cannot approve their own work. Henry records commercial decisions and release authority; a document or model verdict cannot grant them.</w:t>
      </w:r>
    </w:p>
    <w:tbl>
      <w:tblPr>
        <w:tblW w:type="auto" w:w="0"/>
        <w:tblLayout w:type="fixed"/>
        <w:tblLook w:firstColumn="1" w:firstRow="1" w:lastColumn="0" w:lastRow="0" w:noHBand="0" w:noVBand="1" w:val="04A0"/>
      </w:tblPr>
      <w:tblGrid>
        <w:gridCol w:w="1656"/>
        <w:gridCol w:w="3024"/>
        <w:gridCol w:w="4536"/>
      </w:tblGrid>
      <w:tr>
        <w:trPr>
          <w:tblHeader/>
          <w:cantSplit/>
        </w:trPr>
        <w:tc>
          <w:tcPr>
            <w:tcW w:type="dxa" w:w="1656"/>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Gate</w:t>
            </w:r>
          </w:p>
        </w:tc>
        <w:tc>
          <w:tcPr>
            <w:tcW w:type="dxa" w:w="3024"/>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Evidence required</w:t>
            </w:r>
          </w:p>
        </w:tc>
        <w:tc>
          <w:tcPr>
            <w:tcW w:type="dxa" w:w="4536"/>
            <w:tcBorders>
              <w:top w:val="single" w:sz="4" w:color="D9D9D9"/>
              <w:left w:val="single" w:sz="4" w:color="D9D9D9"/>
              <w:bottom w:val="single" w:sz="4" w:color="D9D9D9"/>
              <w:right w:val="single" w:sz="4" w:color="D9D9D9"/>
            </w:tcBorders>
            <w:shd w:fill="E7EDF1"/>
            <w:tcMar>
              <w:top w:w="90" w:type="dxa"/>
              <w:left w:w="90" w:type="dxa"/>
              <w:bottom w:w="90" w:type="dxa"/>
              <w:right w:w="90" w:type="dxa"/>
            </w:tcMar>
          </w:tcPr>
          <w:p>
            <w:pPr>
              <w:spacing w:after="60"/>
            </w:pPr>
            <w:r>
              <w:rPr>
                <w:b/>
                <w:sz w:val="20"/>
              </w:rPr>
              <w:t>Stop when absent</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G0 Staffed</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Roster, inbox/register access, backup and reviewer slots</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Paid delivery commitment</w:t>
            </w:r>
          </w:p>
        </w:tc>
      </w:tr>
      <w:tr>
        <w:trPr>
          <w:cantSplit/>
        </w:trPr>
        <w:tc>
          <w:tcPr>
            <w:tcW w:type="dxa" w:w="165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G1 Source and release</w:t>
            </w:r>
          </w:p>
        </w:tc>
        <w:tc>
          <w:tcPr>
            <w:tcW w:type="dxa" w:w="3024"/>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Deployed identity; approved edition, retrieval time/hash, freshness, coverage, exceptions and applicable source/shadow/latency approvals</w:t>
            </w:r>
          </w:p>
        </w:tc>
        <w:tc>
          <w:tcPr>
            <w:tcW w:type="dxa" w:w="453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Unsupported source use, feasibility or affected commercial action</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G2 Scope fidelity</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One supported geography, service/category/window, exclusions, ranking and distinct-provider set</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Quantity guarantee or payment for unsupported scope</w:t>
            </w:r>
          </w:p>
        </w:tc>
      </w:tr>
      <w:tr>
        <w:trPr>
          <w:cantSplit/>
        </w:trPr>
        <w:tc>
          <w:tcPr>
            <w:tcW w:type="dxa" w:w="165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G3 Outreach</w:t>
            </w:r>
          </w:p>
        </w:tc>
        <w:tc>
          <w:tcPr>
            <w:tcW w:type="dxa" w:w="3024"/>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Authorised campaign, recipient/channel evidence, suppression and copy; applicable call screening</w:t>
            </w:r>
          </w:p>
        </w:tc>
        <w:tc>
          <w:tcPr>
            <w:tcW w:type="dxa" w:w="453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Marketing contact; service messages need their approved route</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G4 Terms and money</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Approved fee/tax/terms/date and merchant route; payment and recovery rehearsal</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Payment request and live money operation</w:t>
            </w:r>
          </w:p>
        </w:tc>
      </w:tr>
      <w:tr>
        <w:trPr>
          <w:cantSplit/>
        </w:trPr>
        <w:tc>
          <w:tcPr>
            <w:tcW w:type="dxa" w:w="165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G5 Full rehearsal</w:t>
            </w:r>
          </w:p>
        </w:tc>
        <w:tc>
          <w:tcPr>
            <w:tcW w:type="dxa" w:w="3024"/>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Full-sized synthetic pack, timed work, independent rendered review, controlled real route/access, wrong-recipient denial and recovery</w:t>
            </w:r>
          </w:p>
        </w:tc>
        <w:tc>
          <w:tcPr>
            <w:tcW w:type="dxa" w:w="4536"/>
            <w:tcBorders>
              <w:top w:val="single" w:sz="4" w:color="D9D9D9"/>
              <w:left w:val="single" w:sz="4" w:color="D9D9D9"/>
              <w:bottom w:val="single" w:sz="4" w:color="D9D9D9"/>
              <w:right w:val="single" w:sz="4" w:color="D9D9D9"/>
            </w:tcBorders>
            <w:shd w:fill="F6F8FA"/>
            <w:tcMar>
              <w:top w:w="90" w:type="dxa"/>
              <w:left w:w="90" w:type="dxa"/>
              <w:bottom w:w="90" w:type="dxa"/>
              <w:right w:w="90" w:type="dxa"/>
            </w:tcMar>
          </w:tcPr>
          <w:p>
            <w:pPr>
              <w:spacing w:after="60"/>
            </w:pPr>
            <w:r>
              <w:rPr>
                <w:sz w:val="20"/>
              </w:rPr>
              <w:t>First paid commitment or payment request</w:t>
            </w:r>
          </w:p>
        </w:tc>
      </w:tr>
      <w:tr>
        <w:trPr>
          <w:cantSplit/>
        </w:trPr>
        <w:tc>
          <w:tcPr>
            <w:tcW w:type="dxa" w:w="165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G6 Each release</w:t>
            </w:r>
          </w:p>
        </w:tc>
        <w:tc>
          <w:tcPr>
            <w:tcW w:type="dxa" w:w="3024"/>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Accepted scope, matched paid status, reviewed final files/hashes, attribution, recipient and route authority</w:t>
            </w:r>
          </w:p>
        </w:tc>
        <w:tc>
          <w:tcPr>
            <w:tcW w:type="dxa" w:w="4536"/>
            <w:tcBorders>
              <w:top w:val="single" w:sz="4" w:color="D9D9D9"/>
              <w:left w:val="single" w:sz="4" w:color="D9D9D9"/>
              <w:bottom w:val="single" w:sz="4" w:color="D9D9D9"/>
              <w:right w:val="single" w:sz="4" w:color="D9D9D9"/>
            </w:tcBorders>
            <w:shd w:fill="FFFFFF"/>
            <w:tcMar>
              <w:top w:w="90" w:type="dxa"/>
              <w:left w:w="90" w:type="dxa"/>
              <w:bottom w:w="90" w:type="dxa"/>
              <w:right w:w="90" w:type="dxa"/>
            </w:tcMar>
          </w:tcPr>
          <w:p>
            <w:pPr>
              <w:spacing w:after="60"/>
            </w:pPr>
            <w:r>
              <w:rPr>
                <w:sz w:val="20"/>
              </w:rPr>
              <w:t>That specific order/version's release</w:t>
            </w:r>
          </w:p>
        </w:tc>
      </w:tr>
    </w:tbl>
    <w:p>
      <w:pPr>
        <w:spacing w:after="40"/>
      </w:pPr>
    </w:p>
    <w:p>
      <w:r>
        <w:t xml:space="preserve">G0 to G5 precede a paid commitment. G6 follows verified payment and final production. A paper exercise, successful build or generated sample cannot substitute for these receipts. Current public observations are in the </w:t>
      </w:r>
      <w:hyperlink r:id="rId22">
        <w:r>
          <w:rPr>
            <w:color w:val="174D6A"/>
            <w:u w:val="single"/>
          </w:rPr>
          <w:t>manual index</w:t>
        </w:r>
      </w:hyperlink>
      <w:r>
        <w:t>; recheck them before a consequential action.</w:t>
      </w:r>
    </w:p>
    <w:p>
      <w:r>
        <w:t>Digest sales remain on hold until product-specific operative terms and fulfilment approval are evidenced. The Brief process below cannot supply those product-specific approvals.</w:t>
      </w:r>
    </w:p>
    <w:p>
      <w:pPr>
        <w:pStyle w:val="Heading1"/>
      </w:pPr>
      <w:r>
        <w:t>Take an enquiry through production</w:t>
      </w:r>
    </w:p>
    <w:p>
      <w:pPr>
        <w:ind w:left="288" w:hanging="288"/>
      </w:pPr>
      <w:r>
        <w:t>1. Record an actual incoming message, received time, reference, owner and next update date. A CTA click is intent only. A proposed response target is the next working day, subject to staffed capacity and authorised communications.</w:t>
      </w:r>
    </w:p>
    <w:p>
      <w:pPr>
        <w:ind w:left="288" w:hanging="288"/>
      </w:pPr>
      <w:r>
        <w:t>2. Ask only for missing qualification fields. Freeze the exact selection predicates, exclusions, counting unit and required files. Unsupported service/category mapping requires clarification, not a silent broadening.</w:t>
      </w:r>
    </w:p>
    <w:p>
      <w:pPr>
        <w:ind w:left="288" w:hanging="288"/>
      </w:pPr>
      <w:r>
        <w:t>3. Check an approved source edition and candidate set. Count distinct nonblank CQC provider IDs separately from locations. If 22 qualify for an agreed 25, rescope with buyer and commercial approval or decline before payment. Do not pad.</w:t>
      </w:r>
    </w:p>
    <w:p>
      <w:pPr>
        <w:ind w:left="288" w:hanging="288"/>
      </w:pPr>
      <w:r>
        <w:t>4. Save the buyer's acceptance of a versioned scope: buyer decision, area, services, dates/window, exclusions, quantity, grouping/ranking rule, source/check date, files, recipient, fee/tax, terms and calendar deadline. Reserve the producer and reviewer slots.</w:t>
      </w:r>
    </w:p>
    <w:p>
      <w:pPr>
        <w:ind w:left="288" w:hanging="288"/>
      </w:pPr>
      <w:r>
        <w:t>5. After G0 to G5, the authorised owner issues one payment request through the selected approved route. Verify merchant status, amount, GBP currency, payer/order and refund state. A screenshot, email or redirect alone is insufficient. Reconcile uncertain, duplicate, mismatched or failed payments before retrying.</w:t>
      </w:r>
    </w:p>
    <w:p>
      <w:pPr>
        <w:ind w:left="288" w:hanging="288"/>
      </w:pPr>
      <w:r>
        <w:t>6. Produce from approved inputs and the accepted scope. Record time and source identity. Keep source facts, inference, prioritisation reason and unanswered qualification questions distinct. Existing generator code supports service filtering and qualification questions; the latest release also distinguishes absent rating-event dates. Do not infer that historical date fields were backfilled merely because the tool exists.</w:t>
      </w:r>
    </w:p>
    <w:p>
      <w:r>
        <w:t>The Brief target is three English working days from the later scope/source check, counting the next working day as one. Payment verification precedes production and does not reset that clock. Retain the original date. If it is no longer achievable, Henry agrees a revised written calendar date with the buyer before production. Use current English holidays when calculating dates; training examples do not establish future availability.</w:t>
      </w:r>
    </w:p>
    <w:p>
      <w:pPr>
        <w:pStyle w:val="Heading1"/>
      </w:pPr>
      <w:r>
        <w:t>Review the actual pack</w:t>
      </w:r>
    </w:p>
    <w:p>
      <w:r>
        <w:t>The independent reviewer opens the final PDF, CSV and manifest. Check every shortlisted provider against the accepted predicates and source records, including identity, relevant location scope, counts, links, dates, attribution and material gaps. A location rating must retain its proper scope. Scores or footprint do not establish buying intent.</w:t>
      </w:r>
    </w:p>
    <w:p>
      <w:r>
        <w:t>Reconcile PDF and CSV counts and fields. Open the CSV in the intended application and inspect IDs, special characters, empty values, formulas and column mapping. Check the PDF's text, tables, page breaks and readable source trail. The manifest must identify the approved source editions, retrieval/check dates, hashes, attribution and reuse limits. A missing or old event date remains visible; collection time is not its replacement.</w:t>
      </w:r>
    </w:p>
    <w:p>
      <w:r>
        <w:t>Record the exact filenames and SHA-256 hashes with the verdict. A changed final file needs re-review. Reject wrong territory, duplicates, unsupported claims, missing sources, unreadable layout or absent required files. Producer self-review is useful preparation and cannot supply the independent PASS.</w:t>
      </w:r>
    </w:p>
    <w:p>
      <w:pPr>
        <w:pStyle w:val="Heading1"/>
      </w:pPr>
      <w:r>
        <w:t>Release and establish receipt</w:t>
      </w:r>
    </w:p>
    <w:p>
      <w:r>
        <w:t>At G6, match final hashes, paid entitlement, buyer-approved recipient and approved delivery route. Record explicit release authority and send/access evidence. Do not use dormant automated fulfilment as a bypass around independent review.</w:t>
      </w:r>
    </w:p>
    <w:p>
      <w:r>
        <w:t>Ask the agreed recipient to open the PDF, CSV and manifest. Confirmed usable receipt remains pending until they confirm all three. An upload, queued email, provider send acceptance or tracking pixel is insufficient. Record scope acceptance after delivery separately from receipt; ask about usefulness five working days after confirmed access.</w:t>
      </w:r>
    </w:p>
    <w:p>
      <w:r>
        <w:t>If delivery fails, own the issue and next update date. For a wrong recipient, stop further release, restrict access through the approved operator and escalate privately. For a factual defect, freeze affected release, correct against evidence and obtain independent re-review of the new hashes. Follow operative remedies; a template cannot grant refunds or invent deadlines.</w:t>
      </w:r>
    </w:p>
    <w:p>
      <w:pPr>
        <w:pStyle w:val="Heading1"/>
      </w:pPr>
      <w:r>
        <w:t>Operate the software release</w:t>
      </w:r>
    </w:p>
    <w:p>
      <w:r>
        <w:t>Canonical production is the root Vercel multi-service configuration with Next.js frontend, FastAPI backend and Neon data. EC2/PM2 runbooks are historical. Use Stripe Projects CLI for managed provider/environment status; never publish generated credentials or local provider state.</w:t>
      </w:r>
    </w:p>
    <w:p>
      <w:r>
        <w:t xml:space="preserve">Preserve dirty work before Git operations. Release current reviewed source through the configured Git/Vercel path. Check exact-commit CI, deployment target and status, then compare both </w:t>
      </w:r>
      <w:r>
        <w:rPr>
          <w:b w:val="0"/>
        </w:rPr>
        <w:t>/api/v1/version</w:t>
      </w:r>
      <w:r>
        <w:t xml:space="preserve"> and </w:t>
      </w:r>
      <w:r>
        <w:rPr>
          <w:b w:val="0"/>
        </w:rPr>
        <w:t>/api/health/directory</w:t>
      </w:r>
      <w:r>
        <w:t xml:space="preserve"> with the deployed commit. Exercise public paths and retain smoke evidence. Deployment success does not establish fresh data, working paid delivery or outreach permission.</w:t>
      </w:r>
    </w:p>
    <w:p>
      <w:r>
        <w:t>Keep source reconciliation, main/backup polls, watchdog execution and notification receipt distinct. Inspect both signal workflows; a primary-only report cannot certify combined coverage. Keep the source's published date, retrieval date, reconciliation date and newest signal date separate. Do not launch a production backfill, migration, new collector or feature activation as a release verification step.</w:t>
      </w:r>
    </w:p>
    <w:p>
      <w:r>
        <w:t>On failure, retain the failing logs and release identity, pause the affected path and assign an owner. Use an evidenced prior deployment for authorised software rollback; database recovery requires its own approved recovery procedure. Update the war-room checkpoint with unresolved work and evidence rather than marking the service commercially ready.</w:t>
      </w:r>
    </w:p>
    <w:sectPr w:rsidR="00FC693F" w:rsidRPr="0006063C" w:rsidSect="00034616">
      <w:headerReference w:type="default" r:id="rId9"/>
      <w:footerReference w:type="default" r:id="rId10"/>
      <w:pgSz w:w="11909" w:h="16834"/>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Prepared instructions are separate from operating approvals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8"/>
      </w:rPr>
      <w:t>CareGist  |  Manuals  |  15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caregist.co.uk/search" TargetMode="External"/><Relationship Id="rId12" Type="http://schemas.openxmlformats.org/officeDocument/2006/relationships/hyperlink" Target="https://www.caregist.co.uk/data-status" TargetMode="External"/><Relationship Id="rId13" Type="http://schemas.openxmlformats.org/officeDocument/2006/relationships/hyperlink" Target="mailto:support@caregist.co.uk" TargetMode="External"/><Relationship Id="rId14" Type="http://schemas.openxmlformats.org/officeDocument/2006/relationships/hyperlink" Target="https://www.caregist.co.uk/pricing" TargetMode="External"/><Relationship Id="rId15" Type="http://schemas.openxmlformats.org/officeDocument/2006/relationships/hyperlink" Target="https://www.caregist.co.uk/territory-opportunity-brief" TargetMode="External"/><Relationship Id="rId16" Type="http://schemas.openxmlformats.org/officeDocument/2006/relationships/hyperlink" Target="mailto:outreach@caregist.co.uk" TargetMode="External"/><Relationship Id="rId17" Type="http://schemas.openxmlformats.org/officeDocument/2006/relationships/hyperlink" Target="https://github.com/sapopo93/caregist/blob/main/docs/manuals/OPERATIONS_MANUAL.md" TargetMode="External"/><Relationship Id="rId18" Type="http://schemas.openxmlformats.org/officeDocument/2006/relationships/hyperlink" Target="https://github.com/sapopo93/caregist/blob/main/docs/manuals/USER_MANUAL.md" TargetMode="External"/><Relationship Id="rId19" Type="http://schemas.openxmlformats.org/officeDocument/2006/relationships/hyperlink" Target="https://github.com/sapopo93/caregist/blob/main/docs/manuals/SALES_GTM_MANUAL.md" TargetMode="External"/><Relationship Id="rId20" Type="http://schemas.openxmlformats.org/officeDocument/2006/relationships/hyperlink" Target="https://github.com/sapopo93/caregist/blob/main/docs/manuals/CRM_MANUAL.md" TargetMode="External"/><Relationship Id="rId21" Type="http://schemas.openxmlformats.org/officeDocument/2006/relationships/hyperlink" Target="https://www.caregist.co.uk/crm" TargetMode="External"/><Relationship Id="rId22" Type="http://schemas.openxmlformats.org/officeDocument/2006/relationships/hyperlink" Target="https://github.com/sapopo93/caregist/blob/main/docs/manuals/README.m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CareGist user training sales CRM and operations manuals</dc:title>
  <dc:subject/>
  <dc:creator>CareGist</dc:creator>
  <cp:keywords/>
  <dc:description>generated by python-docx</dc:description>
  <cp:lastModifiedBy/>
  <cp:revision>1</cp:revision>
  <dcterms:created xsi:type="dcterms:W3CDTF">2013-12-23T23:15:00Z</dcterms:created>
  <dcterms:modified xsi:type="dcterms:W3CDTF">2013-12-23T23:15:00Z</dcterms:modified>
  <cp:category/>
</cp:coreProperties>
</file>