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5C4C"/>
          <w:sz w:val="40"/>
          <w:szCs w:val="40"/>
        </w:rPr>
        <w:t xml:space="preserve">Accounting Hub — User Handbook</w:t>
      </w:r>
    </w:p>
    <w:p>
      <w:pPr>
        <w:spacing w:after="200"/>
      </w:pPr>
      <w:r>
        <w:rPr>
          <w:i/>
          <w:iCs/>
          <w:color w:val="9AA4AC"/>
          <w:sz w:val="18"/>
          <w:szCs w:val="18"/>
        </w:rPr>
        <w:t xml:space="preserve">Sapphire Clinics East Inc.  ·  Visible to the Clinic Manager (main admin) only — internal use, handle in confidence.</w:t>
      </w:r>
    </w:p>
    <w:p>
      <w:pPr>
        <w:pStyle w:val="Heading2"/>
        <w:spacing w:after="100" w:before="240"/>
      </w:pPr>
      <w:r>
        <w:rPr>
          <w:b/>
          <w:bCs/>
          <w:color w:val="0F5C4C"/>
          <w:sz w:val="30"/>
          <w:szCs w:val="30"/>
        </w:rPr>
        <w:t xml:space="preserve">1. Welcome &amp; Overview</w:t>
      </w:r>
    </w:p>
    <w:p>
      <w:pPr>
        <w:spacing w:after="120"/>
        <w:jc w:val="both"/>
      </w:pPr>
      <w:r>
        <w:rPr>
          <w:b w:val="false"/>
          <w:bCs w:val="false"/>
          <w:color w:val="2B2F33"/>
          <w:sz w:val="21"/>
          <w:szCs w:val="21"/>
        </w:rPr>
        <w:t xml:space="preserve">The Accounting Hub runs the day-to-day money side of the clinics — point of sale, expenses, payroll, receivables, taxes, equity, referrals and reports. Each person sees only the parts their role allows, so some sections below may not appear on a given user’s screen — that is normal.</w:t>
      </w:r>
    </w:p>
    <w:p>
      <w:pPr>
        <w:pStyle w:val="Heading3"/>
        <w:spacing w:after="60" w:before="180"/>
      </w:pPr>
      <w:r>
        <w:rPr>
          <w:b/>
          <w:bCs/>
          <w:color w:val="B8863B"/>
          <w:sz w:val="24"/>
          <w:szCs w:val="24"/>
        </w:rPr>
        <w:t xml:space="preserve">1.1 Signing in</w:t>
      </w:r>
    </w:p>
    <w:p>
      <w:pPr>
        <w:pStyle w:val="ListParagraph"/>
        <w:numPr>
          <w:ilvl w:val="0"/>
          <w:numId w:val="2"/>
        </w:numPr>
        <w:spacing w:after="40"/>
      </w:pPr>
      <w:r>
        <w:rPr>
          <w:b w:val="false"/>
          <w:bCs w:val="false"/>
          <w:color w:val="2B2F33"/>
          <w:sz w:val="21"/>
          <w:szCs w:val="21"/>
        </w:rPr>
        <w:t xml:space="preserve">Open accounting.sapphireclinicseast.org in Chrome or Edge.</w:t>
      </w:r>
    </w:p>
    <w:p>
      <w:pPr>
        <w:pStyle w:val="ListParagraph"/>
        <w:numPr>
          <w:ilvl w:val="0"/>
          <w:numId w:val="2"/>
        </w:numPr>
        <w:spacing w:after="40"/>
      </w:pPr>
      <w:r>
        <w:rPr>
          <w:b w:val="false"/>
          <w:bCs w:val="false"/>
          <w:color w:val="2B2F33"/>
          <w:sz w:val="21"/>
          <w:szCs w:val="21"/>
        </w:rPr>
        <w:t xml:space="preserve">Enter the email and password issued by the Clinic Manager. Never share a login.</w:t>
      </w:r>
    </w:p>
    <w:p>
      <w:pPr>
        <w:pStyle w:val="ListParagraph"/>
        <w:numPr>
          <w:ilvl w:val="0"/>
          <w:numId w:val="2"/>
        </w:numPr>
        <w:spacing w:after="40"/>
      </w:pPr>
      <w:r>
        <w:rPr>
          <w:b w:val="false"/>
          <w:bCs w:val="false"/>
          <w:color w:val="2B2F33"/>
          <w:sz w:val="21"/>
          <w:szCs w:val="21"/>
        </w:rPr>
        <w:t xml:space="preserve">Branch users automatically see their branch (Aura Health East, Aura Health Greenhills, or Verdana).</w:t>
      </w:r>
    </w:p>
    <w:p>
      <w:pPr>
        <w:pStyle w:val="ListParagraph"/>
        <w:numPr>
          <w:ilvl w:val="0"/>
          <w:numId w:val="2"/>
        </w:numPr>
        <w:spacing w:after="40"/>
      </w:pPr>
      <w:r>
        <w:rPr>
          <w:b w:val="false"/>
          <w:bCs w:val="false"/>
          <w:color w:val="2B2F33"/>
          <w:sz w:val="21"/>
          <w:szCs w:val="21"/>
        </w:rPr>
        <w:t xml:space="preserve">To leave, use the account menu to Sign out — a browser refresh does not log you out.</w:t>
      </w:r>
    </w:p>
    <w:p>
      <w:pPr>
        <w:pBdr>
          <w:left w:val="single" w:color="0F5C4C" w:sz="18" w:space="8"/>
        </w:pBdr>
        <w:shd w:fill="E5F0EC" w:val="clear"/>
        <w:spacing w:after="140" w:before="60"/>
      </w:pPr>
      <w:r>
        <w:rPr>
          <w:b/>
          <w:bCs/>
          <w:color w:val="0F5C4C"/>
          <w:sz w:val="21"/>
          <w:szCs w:val="21"/>
        </w:rPr>
        <w:t xml:space="preserve">Tip: </w:t>
      </w:r>
      <w:r>
        <w:rPr>
          <w:color w:val="2B2F33"/>
          <w:sz w:val="21"/>
          <w:szCs w:val="21"/>
        </w:rPr>
        <w:t xml:space="preserve">If a user sees “Insufficient permissions” right after a system update, have them fully sign out and back in — their session may hold an old copy of their role.</w:t>
      </w:r>
    </w:p>
    <w:p>
      <w:pPr>
        <w:pStyle w:val="Heading3"/>
        <w:spacing w:after="60" w:before="180"/>
      </w:pPr>
      <w:r>
        <w:rPr>
          <w:b/>
          <w:bCs/>
          <w:color w:val="B8863B"/>
          <w:sz w:val="24"/>
          <w:szCs w:val="24"/>
        </w:rPr>
        <w:t xml:space="preserve">1.2 The roles</w:t>
      </w:r>
    </w:p>
    <w:p>
      <w:pPr>
        <w:pStyle w:val="ListParagraph"/>
        <w:numPr>
          <w:ilvl w:val="0"/>
          <w:numId w:val="1"/>
        </w:numPr>
        <w:spacing w:after="40"/>
      </w:pPr>
      <w:r>
        <w:rPr>
          <w:b/>
          <w:bCs/>
          <w:color w:val="2B2F33"/>
          <w:sz w:val="21"/>
          <w:szCs w:val="21"/>
        </w:rPr>
        <w:t xml:space="preserve">Clinic Manager (Main Admin)</w:t>
      </w:r>
      <w:r>
        <w:rPr>
          <w:b w:val="false"/>
          <w:bCs w:val="false"/>
          <w:color w:val="2B2F33"/>
          <w:sz w:val="21"/>
          <w:szCs w:val="21"/>
        </w:rPr>
        <w:t xml:space="preserve"> — full access to everything, plus user management and company settings.</w:t>
      </w:r>
    </w:p>
    <w:p>
      <w:pPr>
        <w:pStyle w:val="ListParagraph"/>
        <w:numPr>
          <w:ilvl w:val="0"/>
          <w:numId w:val="1"/>
        </w:numPr>
        <w:spacing w:after="40"/>
      </w:pPr>
      <w:r>
        <w:rPr>
          <w:b/>
          <w:bCs/>
          <w:color w:val="2B2F33"/>
          <w:sz w:val="21"/>
          <w:szCs w:val="21"/>
        </w:rPr>
        <w:t xml:space="preserve">Accountant</w:t>
      </w:r>
      <w:r>
        <w:rPr>
          <w:b w:val="false"/>
          <w:bCs w:val="false"/>
          <w:color w:val="2B2F33"/>
          <w:sz w:val="21"/>
          <w:szCs w:val="21"/>
        </w:rPr>
        <w:t xml:space="preserve"> — full bookkeeping access and can audit petty-cash/expense entries.</w:t>
      </w:r>
    </w:p>
    <w:p>
      <w:pPr>
        <w:pStyle w:val="ListParagraph"/>
        <w:numPr>
          <w:ilvl w:val="0"/>
          <w:numId w:val="1"/>
        </w:numPr>
        <w:spacing w:after="40"/>
      </w:pPr>
      <w:r>
        <w:rPr>
          <w:b/>
          <w:bCs/>
          <w:color w:val="2B2F33"/>
          <w:sz w:val="21"/>
          <w:szCs w:val="21"/>
        </w:rPr>
        <w:t xml:space="preserve">Bookkeeper</w:t>
      </w:r>
      <w:r>
        <w:rPr>
          <w:b w:val="false"/>
          <w:bCs w:val="false"/>
          <w:color w:val="2B2F33"/>
          <w:sz w:val="21"/>
          <w:szCs w:val="21"/>
        </w:rPr>
        <w:t xml:space="preserve"> — same as Accountant, except cannot do the final audit sign-off.</w:t>
      </w:r>
    </w:p>
    <w:p>
      <w:pPr>
        <w:pStyle w:val="ListParagraph"/>
        <w:numPr>
          <w:ilvl w:val="0"/>
          <w:numId w:val="1"/>
        </w:numPr>
        <w:spacing w:after="40"/>
      </w:pPr>
      <w:r>
        <w:rPr>
          <w:b/>
          <w:bCs/>
          <w:color w:val="2B2F33"/>
          <w:sz w:val="21"/>
          <w:szCs w:val="21"/>
        </w:rPr>
        <w:t xml:space="preserve">HR Officer / Payroll Officer</w:t>
      </w:r>
      <w:r>
        <w:rPr>
          <w:b w:val="false"/>
          <w:bCs w:val="false"/>
          <w:color w:val="2B2F33"/>
          <w:sz w:val="21"/>
          <w:szCs w:val="21"/>
        </w:rPr>
        <w:t xml:space="preserve"> — runs Payroll, plus Services, Point of Sale and Referral.</w:t>
      </w:r>
    </w:p>
    <w:p>
      <w:pPr>
        <w:pStyle w:val="ListParagraph"/>
        <w:numPr>
          <w:ilvl w:val="0"/>
          <w:numId w:val="1"/>
        </w:numPr>
        <w:spacing w:after="40"/>
      </w:pPr>
      <w:r>
        <w:rPr>
          <w:b/>
          <w:bCs/>
          <w:color w:val="2B2F33"/>
          <w:sz w:val="21"/>
          <w:szCs w:val="21"/>
        </w:rPr>
        <w:t xml:space="preserve">Front Desk</w:t>
      </w:r>
      <w:r>
        <w:rPr>
          <w:b w:val="false"/>
          <w:bCs w:val="false"/>
          <w:color w:val="2B2F33"/>
          <w:sz w:val="21"/>
          <w:szCs w:val="21"/>
        </w:rPr>
        <w:t xml:space="preserve"> — Point of Sale, Services, Asset Management, PayMongo, Dashboard and Referral, limited to their branch.</w:t>
      </w:r>
    </w:p>
    <w:p>
      <w:pPr>
        <w:pStyle w:val="ListParagraph"/>
        <w:numPr>
          <w:ilvl w:val="0"/>
          <w:numId w:val="1"/>
        </w:numPr>
        <w:spacing w:after="40"/>
      </w:pPr>
      <w:r>
        <w:rPr>
          <w:b/>
          <w:bCs/>
          <w:color w:val="2B2F33"/>
          <w:sz w:val="21"/>
          <w:szCs w:val="21"/>
        </w:rPr>
        <w:t xml:space="preserve">Medical Representative</w:t>
      </w:r>
      <w:r>
        <w:rPr>
          <w:b w:val="false"/>
          <w:bCs w:val="false"/>
          <w:color w:val="2B2F33"/>
          <w:sz w:val="21"/>
          <w:szCs w:val="21"/>
        </w:rPr>
        <w:t xml:space="preserve"> — Referral directory and Reports only.</w:t>
      </w:r>
    </w:p>
    <w:p>
      <w:pPr>
        <w:pStyle w:val="Heading3"/>
        <w:spacing w:after="60" w:before="180"/>
      </w:pPr>
      <w:r>
        <w:rPr>
          <w:b/>
          <w:bCs/>
          <w:color w:val="B8863B"/>
          <w:sz w:val="24"/>
          <w:szCs w:val="24"/>
        </w:rPr>
        <w:t xml:space="preserve">1.3 Who can open what</w:t>
      </w:r>
    </w:p>
    <w:p>
      <w:pPr>
        <w:spacing w:after="120"/>
        <w:jc w:val="both"/>
      </w:pPr>
      <w:r>
        <w:rPr>
          <w:b w:val="false"/>
          <w:bCs w:val="false"/>
          <w:color w:val="2B2F33"/>
          <w:sz w:val="21"/>
          <w:szCs w:val="21"/>
        </w:rPr>
        <w:t xml:space="preserve">✔ = available · — = not shown. (Admin = Clinic Manager; Acct. = Accountant; Book. = Bookkeeper; Payroll = HR/Payroll Officer.)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shd w:fill="0F5C4C" w:val="clear"/>
            <w:tcMar>
              <w:top w:type="dxa" w:w="40"/>
              <w:left w:type="dxa" w:w="90"/>
              <w:bottom w:type="dxa" w:w="40"/>
              <w:right w:type="dxa" w:w="90"/>
            </w:tcMar>
          </w:tcPr>
          <w:p>
            <w:pPr>
              <w:jc w:val="left"/>
            </w:pPr>
            <w:r>
              <w:rPr>
                <w:b/>
                <w:bCs/>
                <w:color w:val="FFFFFF"/>
                <w:sz w:val="18"/>
                <w:szCs w:val="18"/>
              </w:rPr>
              <w:t xml:space="preserve">Module</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Admin</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Acct.</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Book.</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Payroll</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Front Desk</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MedRep</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Dashboard</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Point of Sale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Services</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PayMongo (online pay)</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Asset Management</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Petty Cash / Expenses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Cash Advances</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Inventory &amp; Procurement</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Accounts Receivable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Payroll</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Taxes / Fund Transfer</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Equity</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view</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view</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Loans &amp; Advances</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Scholars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Referral</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Reports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Sales Summary</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Products / Sales Analysis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Chart of Accounts / Ledger</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Users &amp; Settings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bl>
    <w:p>
      <w:pPr>
        <w:spacing w:after="60"/>
      </w:pPr>
    </w:p>
    <w:p>
      <w:pPr>
        <w:pBdr>
          <w:left w:val="single" w:color="0F5C4C" w:sz="18" w:space="8"/>
        </w:pBdr>
        <w:shd w:fill="E5F0EC" w:val="clear"/>
        <w:spacing w:after="140" w:before="60"/>
      </w:pPr>
      <w:r>
        <w:rPr>
          <w:b/>
          <w:bCs/>
          <w:color w:val="0F5C4C"/>
          <w:sz w:val="21"/>
          <w:szCs w:val="21"/>
        </w:rPr>
        <w:t xml:space="preserve">Note: </w:t>
      </w:r>
      <w:r>
        <w:rPr>
          <w:color w:val="2B2F33"/>
          <w:sz w:val="21"/>
          <w:szCs w:val="21"/>
        </w:rPr>
        <w:t xml:space="preserve">Accountant/Bookkeeper see Equity view-only (Preferred Shares); only the Clinic Manager edits equity. Only the Accountant (and Admin) can do the petty-cash audit sign-off.</w:t>
      </w:r>
    </w:p>
    <w:p>
      <w:pPr>
        <w:pStyle w:val="Heading3"/>
        <w:spacing w:after="60" w:before="180"/>
      </w:pPr>
      <w:r>
        <w:rPr>
          <w:b/>
          <w:bCs/>
          <w:color w:val="B8863B"/>
          <w:sz w:val="24"/>
          <w:szCs w:val="24"/>
        </w:rPr>
        <w:t xml:space="preserve">1.4 Getting around</w:t>
      </w:r>
    </w:p>
    <w:p>
      <w:pPr>
        <w:pStyle w:val="ListParagraph"/>
        <w:numPr>
          <w:ilvl w:val="0"/>
          <w:numId w:val="1"/>
        </w:numPr>
        <w:spacing w:after="40"/>
      </w:pPr>
      <w:r>
        <w:rPr>
          <w:b/>
          <w:bCs/>
          <w:color w:val="2B2F33"/>
          <w:sz w:val="21"/>
          <w:szCs w:val="21"/>
        </w:rPr>
        <w:t xml:space="preserve">Left sidebar</w:t>
      </w:r>
      <w:r>
        <w:rPr>
          <w:b w:val="false"/>
          <w:bCs w:val="false"/>
          <w:color w:val="2B2F33"/>
          <w:sz w:val="21"/>
          <w:szCs w:val="21"/>
        </w:rPr>
        <w:t xml:space="preserve"> lists every module the user can open, grouped by area.</w:t>
      </w:r>
    </w:p>
    <w:p>
      <w:pPr>
        <w:pStyle w:val="ListParagraph"/>
        <w:numPr>
          <w:ilvl w:val="0"/>
          <w:numId w:val="1"/>
        </w:numPr>
        <w:spacing w:after="40"/>
      </w:pPr>
      <w:r>
        <w:rPr>
          <w:b/>
          <w:bCs/>
          <w:color w:val="2B2F33"/>
          <w:sz w:val="21"/>
          <w:szCs w:val="21"/>
        </w:rPr>
        <w:t xml:space="preserve">Global search</w:t>
      </w:r>
      <w:r>
        <w:rPr>
          <w:b w:val="false"/>
          <w:bCs w:val="false"/>
          <w:color w:val="2B2F33"/>
          <w:sz w:val="21"/>
          <w:szCs w:val="21"/>
        </w:rPr>
        <w:t xml:space="preserve"> — press ⌘K / Ctrl-K to jump to a patient, order, supplier or account.</w:t>
      </w:r>
    </w:p>
    <w:p>
      <w:pPr>
        <w:pStyle w:val="ListParagraph"/>
        <w:numPr>
          <w:ilvl w:val="0"/>
          <w:numId w:val="1"/>
        </w:numPr>
        <w:spacing w:after="40"/>
      </w:pPr>
      <w:r>
        <w:rPr>
          <w:b/>
          <w:bCs/>
          <w:color w:val="2B2F33"/>
          <w:sz w:val="21"/>
          <w:szCs w:val="21"/>
        </w:rPr>
        <w:t xml:space="preserve">Notifications (🔔)</w:t>
      </w:r>
      <w:r>
        <w:rPr>
          <w:b w:val="false"/>
          <w:bCs w:val="false"/>
          <w:color w:val="2B2F33"/>
          <w:sz w:val="21"/>
          <w:szCs w:val="21"/>
        </w:rPr>
        <w:t xml:space="preserve"> — new concerns, forms and deadline reminders.</w:t>
      </w:r>
    </w:p>
    <w:p>
      <w:pPr>
        <w:pStyle w:val="ListParagraph"/>
        <w:numPr>
          <w:ilvl w:val="0"/>
          <w:numId w:val="1"/>
        </w:numPr>
        <w:spacing w:after="40"/>
      </w:pPr>
      <w:r>
        <w:rPr>
          <w:b/>
          <w:bCs/>
          <w:color w:val="2B2F33"/>
          <w:sz w:val="21"/>
          <w:szCs w:val="21"/>
        </w:rPr>
        <w:t xml:space="preserve">Download / Export</w:t>
      </w:r>
      <w:r>
        <w:rPr>
          <w:b w:val="false"/>
          <w:bCs w:val="false"/>
          <w:color w:val="2B2F33"/>
          <w:sz w:val="21"/>
          <w:szCs w:val="21"/>
        </w:rPr>
        <w:t xml:space="preserve"> — Excel and PDF buttons on most tables.</w:t>
      </w:r>
    </w:p>
    <w:p>
      <w:pPr>
        <w:pStyle w:val="ListParagraph"/>
        <w:numPr>
          <w:ilvl w:val="0"/>
          <w:numId w:val="1"/>
        </w:numPr>
        <w:spacing w:after="40"/>
      </w:pPr>
      <w:r>
        <w:rPr>
          <w:b/>
          <w:bCs/>
          <w:color w:val="2B2F33"/>
          <w:sz w:val="21"/>
          <w:szCs w:val="21"/>
        </w:rPr>
        <w:t xml:space="preserve">Uploads / Scan QR</w:t>
      </w:r>
      <w:r>
        <w:rPr>
          <w:b w:val="false"/>
          <w:bCs w:val="false"/>
          <w:color w:val="2B2F33"/>
          <w:sz w:val="21"/>
          <w:szCs w:val="21"/>
        </w:rPr>
        <w:t xml:space="preserve"> — attach documents or send a photo from a phone.</w:t>
      </w:r>
    </w:p>
    <w:p>
      <w:pPr>
        <w:pStyle w:val="ListParagraph"/>
        <w:numPr>
          <w:ilvl w:val="0"/>
          <w:numId w:val="1"/>
        </w:numPr>
        <w:spacing w:after="40"/>
      </w:pPr>
      <w:r>
        <w:rPr>
          <w:b/>
          <w:bCs/>
          <w:color w:val="2B2F33"/>
          <w:sz w:val="21"/>
          <w:szCs w:val="21"/>
        </w:rPr>
        <w:t xml:space="preserve">Filter &amp; sort</w:t>
      </w:r>
      <w:r>
        <w:rPr>
          <w:b w:val="false"/>
          <w:bCs w:val="false"/>
          <w:color w:val="2B2F33"/>
          <w:sz w:val="21"/>
          <w:szCs w:val="21"/>
        </w:rPr>
        <w:t xml:space="preserve"> — click a column header to sort ascending/descending; many tables have per-column filter boxes.</w:t>
      </w:r>
    </w:p>
    <w:p>
      <w:pPr>
        <w:pStyle w:val="Heading2"/>
        <w:spacing w:after="100" w:before="240"/>
      </w:pPr>
      <w:r>
        <w:rPr>
          <w:b/>
          <w:bCs/>
          <w:color w:val="0F5C4C"/>
          <w:sz w:val="30"/>
          <w:szCs w:val="30"/>
        </w:rPr>
        <w:t xml:space="preserve">2. Role Guides</w:t>
      </w:r>
    </w:p>
    <w:p>
      <w:pPr>
        <w:pStyle w:val="Heading3"/>
        <w:spacing w:after="60" w:before="180"/>
      </w:pPr>
      <w:r>
        <w:rPr>
          <w:b/>
          <w:bCs/>
          <w:color w:val="B8863B"/>
          <w:sz w:val="24"/>
          <w:szCs w:val="24"/>
        </w:rPr>
        <w:t xml:space="preserve">2.1 Clinic Manager (Main Admin)</w:t>
      </w:r>
    </w:p>
    <w:p>
      <w:pPr>
        <w:pStyle w:val="ListParagraph"/>
        <w:numPr>
          <w:ilvl w:val="0"/>
          <w:numId w:val="1"/>
        </w:numPr>
        <w:spacing w:after="40"/>
      </w:pPr>
      <w:r>
        <w:rPr>
          <w:b/>
          <w:bCs/>
          <w:color w:val="2B2F33"/>
          <w:sz w:val="21"/>
          <w:szCs w:val="21"/>
        </w:rPr>
        <w:t xml:space="preserve">Oversight</w:t>
      </w:r>
      <w:r>
        <w:rPr>
          <w:b w:val="false"/>
          <w:bCs w:val="false"/>
          <w:color w:val="2B2F33"/>
          <w:sz w:val="21"/>
          <w:szCs w:val="21"/>
        </w:rPr>
        <w:t xml:space="preserve"> — Dashboard, Reports, Sales Summary, and Sales/Products Analysis for trends.</w:t>
      </w:r>
    </w:p>
    <w:p>
      <w:pPr>
        <w:pStyle w:val="ListParagraph"/>
        <w:numPr>
          <w:ilvl w:val="0"/>
          <w:numId w:val="1"/>
        </w:numPr>
        <w:spacing w:after="40"/>
      </w:pPr>
      <w:r>
        <w:rPr>
          <w:b/>
          <w:bCs/>
          <w:color w:val="2B2F33"/>
          <w:sz w:val="21"/>
          <w:szCs w:val="21"/>
        </w:rPr>
        <w:t xml:space="preserve">People &amp; access</w:t>
      </w:r>
      <w:r>
        <w:rPr>
          <w:b w:val="false"/>
          <w:bCs w:val="false"/>
          <w:color w:val="2B2F33"/>
          <w:sz w:val="21"/>
          <w:szCs w:val="21"/>
        </w:rPr>
        <w:t xml:space="preserve"> — create staff accounts and set roles in Users (only you).</w:t>
      </w:r>
    </w:p>
    <w:p>
      <w:pPr>
        <w:pStyle w:val="ListParagraph"/>
        <w:numPr>
          <w:ilvl w:val="0"/>
          <w:numId w:val="1"/>
        </w:numPr>
        <w:spacing w:after="40"/>
      </w:pPr>
      <w:r>
        <w:rPr>
          <w:b/>
          <w:bCs/>
          <w:color w:val="2B2F33"/>
          <w:sz w:val="21"/>
          <w:szCs w:val="21"/>
        </w:rPr>
        <w:t xml:space="preserve">Company setup</w:t>
      </w:r>
      <w:r>
        <w:rPr>
          <w:b w:val="false"/>
          <w:bCs w:val="false"/>
          <w:color w:val="2B2F33"/>
          <w:sz w:val="21"/>
          <w:szCs w:val="21"/>
        </w:rPr>
        <w:t xml:space="preserve"> — Chart of Accounts, Beginning Balances, Budgets, and settings such as authorized shares (Equity).</w:t>
      </w:r>
    </w:p>
    <w:p>
      <w:pPr>
        <w:pStyle w:val="ListParagraph"/>
        <w:numPr>
          <w:ilvl w:val="0"/>
          <w:numId w:val="1"/>
        </w:numPr>
        <w:spacing w:after="40"/>
      </w:pPr>
      <w:r>
        <w:rPr>
          <w:b/>
          <w:bCs/>
          <w:color w:val="2B2F33"/>
          <w:sz w:val="21"/>
          <w:szCs w:val="21"/>
        </w:rPr>
        <w:t xml:space="preserve">Money movement</w:t>
      </w:r>
      <w:r>
        <w:rPr>
          <w:b w:val="false"/>
          <w:bCs w:val="false"/>
          <w:color w:val="2B2F33"/>
          <w:sz w:val="21"/>
          <w:szCs w:val="21"/>
        </w:rPr>
        <w:t xml:space="preserve"> — Fund Transfer, Taxes, Loans &amp; Advances, Equity, Scholars.</w:t>
      </w:r>
    </w:p>
    <w:p>
      <w:pPr>
        <w:pStyle w:val="ListParagraph"/>
        <w:numPr>
          <w:ilvl w:val="0"/>
          <w:numId w:val="1"/>
        </w:numPr>
        <w:spacing w:after="40"/>
      </w:pPr>
      <w:r>
        <w:rPr>
          <w:b w:val="false"/>
          <w:bCs w:val="false"/>
          <w:color w:val="2B2F33"/>
          <w:sz w:val="21"/>
          <w:szCs w:val="21"/>
        </w:rPr>
        <w:t xml:space="preserve">Everything the other roles can do — POS, Payroll, Expenses, Receivables, PayMongo, Referral.</w:t>
      </w:r>
    </w:p>
    <w:p>
      <w:pPr>
        <w:pBdr>
          <w:left w:val="single" w:color="0F5C4C" w:sz="18" w:space="8"/>
        </w:pBdr>
        <w:shd w:fill="E5F0EC" w:val="clear"/>
        <w:spacing w:after="140" w:before="60"/>
      </w:pPr>
      <w:r>
        <w:rPr>
          <w:b/>
          <w:bCs/>
          <w:color w:val="0F5C4C"/>
          <w:sz w:val="21"/>
          <w:szCs w:val="21"/>
        </w:rPr>
        <w:t xml:space="preserve">Start here daily: </w:t>
      </w:r>
      <w:r>
        <w:rPr>
          <w:color w:val="2B2F33"/>
          <w:sz w:val="21"/>
          <w:szCs w:val="21"/>
        </w:rPr>
        <w:t xml:space="preserve">open the Dashboard, check 🔔 notifications, then Reports or Sales Summary for yesterday.</w:t>
      </w:r>
    </w:p>
    <w:p>
      <w:pPr>
        <w:pStyle w:val="Heading3"/>
        <w:spacing w:after="60" w:before="180"/>
      </w:pPr>
      <w:r>
        <w:rPr>
          <w:b/>
          <w:bCs/>
          <w:color w:val="B8863B"/>
          <w:sz w:val="24"/>
          <w:szCs w:val="24"/>
        </w:rPr>
        <w:t xml:space="preserve">2.2 Accountant</w:t>
      </w:r>
    </w:p>
    <w:p>
      <w:pPr>
        <w:pStyle w:val="ListParagraph"/>
        <w:numPr>
          <w:ilvl w:val="0"/>
          <w:numId w:val="2"/>
        </w:numPr>
        <w:spacing w:after="40"/>
      </w:pPr>
      <w:r>
        <w:rPr>
          <w:b w:val="false"/>
          <w:bCs w:val="false"/>
          <w:color w:val="2B2F33"/>
          <w:sz w:val="21"/>
          <w:szCs w:val="21"/>
        </w:rPr>
        <w:t xml:space="preserve">Record and review Petty Cash and Expenses (one-time and recurring).</w:t>
      </w:r>
    </w:p>
    <w:p>
      <w:pPr>
        <w:pStyle w:val="ListParagraph"/>
        <w:numPr>
          <w:ilvl w:val="0"/>
          <w:numId w:val="2"/>
        </w:numPr>
        <w:spacing w:after="40"/>
      </w:pPr>
      <w:r>
        <w:rPr>
          <w:b w:val="false"/>
          <w:bCs w:val="false"/>
          <w:color w:val="2B2F33"/>
          <w:sz w:val="21"/>
          <w:szCs w:val="21"/>
        </w:rPr>
        <w:t xml:space="preserve">Audit entries — you (with Admin) give the final sign-off before they flow to reports and RFP.</w:t>
      </w:r>
    </w:p>
    <w:p>
      <w:pPr>
        <w:pStyle w:val="ListParagraph"/>
        <w:numPr>
          <w:ilvl w:val="0"/>
          <w:numId w:val="2"/>
        </w:numPr>
        <w:spacing w:after="40"/>
      </w:pPr>
      <w:r>
        <w:rPr>
          <w:b w:val="false"/>
          <w:bCs w:val="false"/>
          <w:color w:val="2B2F33"/>
          <w:sz w:val="21"/>
          <w:szCs w:val="21"/>
        </w:rPr>
        <w:t xml:space="preserve">Prepare RFP / Billing Vouchers, then Taxes and Fund Transfers.</w:t>
      </w:r>
    </w:p>
    <w:p>
      <w:pPr>
        <w:pStyle w:val="ListParagraph"/>
        <w:numPr>
          <w:ilvl w:val="0"/>
          <w:numId w:val="2"/>
        </w:numPr>
        <w:spacing w:after="40"/>
      </w:pPr>
      <w:r>
        <w:rPr>
          <w:b w:val="false"/>
          <w:bCs w:val="false"/>
          <w:color w:val="2B2F33"/>
          <w:sz w:val="21"/>
          <w:szCs w:val="21"/>
        </w:rPr>
        <w:t xml:space="preserve">Manage Accounts Receivable (HMO / Guarantee-Letter billing and collections).</w:t>
      </w:r>
    </w:p>
    <w:p>
      <w:pPr>
        <w:pStyle w:val="ListParagraph"/>
        <w:numPr>
          <w:ilvl w:val="0"/>
          <w:numId w:val="2"/>
        </w:numPr>
        <w:spacing w:after="40"/>
      </w:pPr>
      <w:r>
        <w:rPr>
          <w:b w:val="false"/>
          <w:bCs w:val="false"/>
          <w:color w:val="2B2F33"/>
          <w:sz w:val="21"/>
          <w:szCs w:val="21"/>
        </w:rPr>
        <w:t xml:space="preserve">Maintain Loans &amp; Advances, Scholars; review Equity (view-only) and Reports.</w:t>
      </w:r>
    </w:p>
    <w:p>
      <w:pPr>
        <w:pBdr>
          <w:left w:val="single" w:color="0F5C4C" w:sz="18" w:space="8"/>
        </w:pBdr>
        <w:shd w:fill="E5F0EC" w:val="clear"/>
        <w:spacing w:after="140" w:before="60"/>
      </w:pPr>
      <w:r>
        <w:rPr>
          <w:b/>
          <w:bCs/>
          <w:color w:val="0F5C4C"/>
          <w:sz w:val="21"/>
          <w:szCs w:val="21"/>
        </w:rPr>
        <w:t xml:space="preserve">Reminder: </w:t>
      </w:r>
      <w:r>
        <w:rPr>
          <w:color w:val="2B2F33"/>
          <w:sz w:val="21"/>
          <w:szCs w:val="21"/>
        </w:rPr>
        <w:t xml:space="preserve">Assign a Chart-of-Accounts account to every entry, or it prints blank on the Billing Voucher (which lists items in the order they were entered).</w:t>
      </w:r>
    </w:p>
    <w:p>
      <w:pPr>
        <w:pStyle w:val="Heading3"/>
        <w:spacing w:after="60" w:before="180"/>
      </w:pPr>
      <w:r>
        <w:rPr>
          <w:b/>
          <w:bCs/>
          <w:color w:val="B8863B"/>
          <w:sz w:val="24"/>
          <w:szCs w:val="24"/>
        </w:rPr>
        <w:t xml:space="preserve">2.3 Bookkeeper</w:t>
      </w:r>
    </w:p>
    <w:p>
      <w:pPr>
        <w:spacing w:after="120"/>
        <w:jc w:val="both"/>
      </w:pPr>
      <w:r>
        <w:rPr>
          <w:b w:val="false"/>
          <w:bCs w:val="false"/>
          <w:color w:val="2B2F33"/>
          <w:sz w:val="21"/>
          <w:szCs w:val="21"/>
        </w:rPr>
        <w:t xml:space="preserve">Same access as the Accountant — Petty Cash, Expenses, Inventory, Receivables, Payroll, Taxes, Fund Transfer, Loans, Equity (view), Reports — except you cannot perform the final audit sign-off. Record and prepare everything; the Accountant or Clinic Manager completes the audit.</w:t>
      </w:r>
    </w:p>
    <w:p>
      <w:pPr>
        <w:pStyle w:val="Heading3"/>
        <w:spacing w:after="60" w:before="180"/>
      </w:pPr>
      <w:r>
        <w:rPr>
          <w:b/>
          <w:bCs/>
          <w:color w:val="B8863B"/>
          <w:sz w:val="24"/>
          <w:szCs w:val="24"/>
        </w:rPr>
        <w:t xml:space="preserve">2.4 HR Officer / Payroll Officer</w:t>
      </w:r>
    </w:p>
    <w:p>
      <w:pPr>
        <w:spacing w:after="120"/>
        <w:jc w:val="both"/>
      </w:pPr>
      <w:r>
        <w:rPr>
          <w:b w:val="false"/>
          <w:bCs w:val="false"/>
          <w:color w:val="2B2F33"/>
          <w:sz w:val="21"/>
          <w:szCs w:val="21"/>
        </w:rPr>
        <w:t xml:space="preserve">You run pay for staff and consultants. You can open Payroll, Services, Point of Sale, and Referral.</w:t>
      </w:r>
    </w:p>
    <w:p>
      <w:pPr>
        <w:pStyle w:val="ListParagraph"/>
        <w:numPr>
          <w:ilvl w:val="0"/>
          <w:numId w:val="1"/>
        </w:numPr>
        <w:spacing w:after="40"/>
      </w:pPr>
      <w:r>
        <w:rPr>
          <w:b/>
          <w:bCs/>
          <w:color w:val="2B2F33"/>
          <w:sz w:val="21"/>
          <w:szCs w:val="21"/>
        </w:rPr>
        <w:t xml:space="preserve">Payroll</w:t>
      </w:r>
      <w:r>
        <w:rPr>
          <w:b w:val="false"/>
          <w:bCs w:val="false"/>
          <w:color w:val="2B2F33"/>
          <w:sz w:val="21"/>
          <w:szCs w:val="21"/>
        </w:rPr>
        <w:t xml:space="preserve"> — timekeeping upload, payroll register, employee &amp; consultant payslips, contributions, IEPR.</w:t>
      </w:r>
    </w:p>
    <w:p>
      <w:pPr>
        <w:pStyle w:val="ListParagraph"/>
        <w:numPr>
          <w:ilvl w:val="0"/>
          <w:numId w:val="1"/>
        </w:numPr>
        <w:spacing w:after="40"/>
      </w:pPr>
      <w:r>
        <w:rPr>
          <w:b/>
          <w:bCs/>
          <w:color w:val="2B2F33"/>
          <w:sz w:val="21"/>
          <w:szCs w:val="21"/>
        </w:rPr>
        <w:t xml:space="preserve">Services &amp; POS</w:t>
      </w:r>
      <w:r>
        <w:rPr>
          <w:b w:val="false"/>
          <w:bCs w:val="false"/>
          <w:color w:val="2B2F33"/>
          <w:sz w:val="21"/>
          <w:szCs w:val="21"/>
        </w:rPr>
        <w:t xml:space="preserve"> — view/maintain the catalogue and process sales when needed.</w:t>
      </w:r>
    </w:p>
    <w:p>
      <w:pPr>
        <w:pBdr>
          <w:left w:val="single" w:color="0F5C4C" w:sz="18" w:space="8"/>
        </w:pBdr>
        <w:shd w:fill="E5F0EC" w:val="clear"/>
        <w:spacing w:after="140" w:before="60"/>
      </w:pPr>
      <w:r>
        <w:rPr>
          <w:b/>
          <w:bCs/>
          <w:color w:val="0F5C4C"/>
          <w:sz w:val="21"/>
          <w:szCs w:val="21"/>
        </w:rPr>
        <w:t xml:space="preserve">Good to know: </w:t>
      </w:r>
      <w:r>
        <w:rPr>
          <w:color w:val="2B2F33"/>
          <w:sz w:val="21"/>
          <w:szCs w:val="21"/>
        </w:rPr>
        <w:t xml:space="preserve">Administration employees are excluded from consultant payslips automatically.</w:t>
      </w:r>
    </w:p>
    <w:p>
      <w:pPr>
        <w:pStyle w:val="Heading3"/>
        <w:spacing w:after="60" w:before="180"/>
      </w:pPr>
      <w:r>
        <w:rPr>
          <w:b/>
          <w:bCs/>
          <w:color w:val="B8863B"/>
          <w:sz w:val="24"/>
          <w:szCs w:val="24"/>
        </w:rPr>
        <w:t xml:space="preserve">2.5 Front Desk</w:t>
      </w:r>
    </w:p>
    <w:p>
      <w:pPr>
        <w:spacing w:after="120"/>
        <w:jc w:val="both"/>
      </w:pPr>
      <w:r>
        <w:rPr>
          <w:b w:val="false"/>
          <w:bCs w:val="false"/>
          <w:color w:val="2B2F33"/>
          <w:sz w:val="21"/>
          <w:szCs w:val="21"/>
        </w:rPr>
        <w:t xml:space="preserve">Cashier and first point of contact. You can open Point of Sale, Services, Asset Management, PayMongo, Dashboard, Sales Summary, and Referral — for your branch.</w:t>
      </w:r>
    </w:p>
    <w:p>
      <w:pPr>
        <w:pStyle w:val="ListParagraph"/>
        <w:numPr>
          <w:ilvl w:val="0"/>
          <w:numId w:val="1"/>
        </w:numPr>
        <w:spacing w:after="40"/>
      </w:pPr>
      <w:r>
        <w:rPr>
          <w:b/>
          <w:bCs/>
          <w:color w:val="2B2F33"/>
          <w:sz w:val="21"/>
          <w:szCs w:val="21"/>
        </w:rPr>
        <w:t xml:space="preserve">POS</w:t>
      </w:r>
      <w:r>
        <w:rPr>
          <w:b w:val="false"/>
          <w:bCs w:val="false"/>
          <w:color w:val="2B2F33"/>
          <w:sz w:val="21"/>
          <w:szCs w:val="21"/>
        </w:rPr>
        <w:t xml:space="preserve"> — ring up sessions/products, take payments (cash, card, GCash/Maya, HMO, Guarantee Letter, packages, wallet), apply discounts, record “unpaid” sessions, print receipts/invoices.</w:t>
      </w:r>
    </w:p>
    <w:p>
      <w:pPr>
        <w:pStyle w:val="ListParagraph"/>
        <w:numPr>
          <w:ilvl w:val="0"/>
          <w:numId w:val="1"/>
        </w:numPr>
        <w:spacing w:after="40"/>
      </w:pPr>
      <w:r>
        <w:rPr>
          <w:b/>
          <w:bCs/>
          <w:color w:val="2B2F33"/>
          <w:sz w:val="21"/>
          <w:szCs w:val="21"/>
        </w:rPr>
        <w:t xml:space="preserve">PayMongo</w:t>
      </w:r>
      <w:r>
        <w:rPr>
          <w:b w:val="false"/>
          <w:bCs w:val="false"/>
          <w:color w:val="2B2F33"/>
          <w:sz w:val="21"/>
          <w:szCs w:val="21"/>
        </w:rPr>
        <w:t xml:space="preserve"> — create online payment links for tuition/downpayments; they mark Paid and appear in POS Orders once paid.</w:t>
      </w:r>
    </w:p>
    <w:p>
      <w:pPr>
        <w:pStyle w:val="ListParagraph"/>
        <w:numPr>
          <w:ilvl w:val="0"/>
          <w:numId w:val="1"/>
        </w:numPr>
        <w:spacing w:after="40"/>
      </w:pPr>
      <w:r>
        <w:rPr>
          <w:b/>
          <w:bCs/>
          <w:color w:val="2B2F33"/>
          <w:sz w:val="21"/>
          <w:szCs w:val="21"/>
        </w:rPr>
        <w:t xml:space="preserve">Referral</w:t>
      </w:r>
      <w:r>
        <w:rPr>
          <w:b w:val="false"/>
          <w:bCs w:val="false"/>
          <w:color w:val="2B2F33"/>
          <w:sz w:val="21"/>
          <w:szCs w:val="21"/>
        </w:rPr>
        <w:t xml:space="preserve"> — see/add referred patients for referrers tagged to your branch.</w:t>
      </w:r>
    </w:p>
    <w:p>
      <w:pPr>
        <w:pBdr>
          <w:left w:val="single" w:color="0F5C4C" w:sz="18" w:space="8"/>
        </w:pBdr>
        <w:shd w:fill="E5F0EC" w:val="clear"/>
        <w:spacing w:after="140" w:before="60"/>
      </w:pPr>
      <w:r>
        <w:rPr>
          <w:b/>
          <w:bCs/>
          <w:color w:val="0F5C4C"/>
          <w:sz w:val="21"/>
          <w:szCs w:val="21"/>
        </w:rPr>
        <w:t xml:space="preserve">If a charge is denied: </w:t>
      </w:r>
      <w:r>
        <w:rPr>
          <w:color w:val="2B2F33"/>
          <w:sz w:val="21"/>
          <w:szCs w:val="21"/>
        </w:rPr>
        <w:t xml:space="preserve">confirm the session is fresh (sign out/in) — front-desk access is branch-based and needs a current login.</w:t>
      </w:r>
    </w:p>
    <w:p>
      <w:pPr>
        <w:pStyle w:val="Heading3"/>
        <w:spacing w:after="60" w:before="180"/>
      </w:pPr>
      <w:r>
        <w:rPr>
          <w:b/>
          <w:bCs/>
          <w:color w:val="B8863B"/>
          <w:sz w:val="24"/>
          <w:szCs w:val="24"/>
        </w:rPr>
        <w:t xml:space="preserve">2.6 Medical Representative</w:t>
      </w:r>
    </w:p>
    <w:p>
      <w:pPr>
        <w:spacing w:after="120"/>
        <w:jc w:val="both"/>
      </w:pPr>
      <w:r>
        <w:rPr>
          <w:b w:val="false"/>
          <w:bCs w:val="false"/>
          <w:color w:val="2B2F33"/>
          <w:sz w:val="21"/>
          <w:szCs w:val="21"/>
        </w:rPr>
        <w:t xml:space="preserve">Manage the Referral directory and view Reports. Keep the Doctors / Law Firms / Partner Schools lists current, link referred patients, and use the Referral Dashboard for counts, net sales, and Top-5 referrers.</w:t>
      </w:r>
    </w:p>
    <w:p>
      <w:pPr>
        <w:pStyle w:val="Heading2"/>
        <w:spacing w:after="100" w:before="240"/>
      </w:pPr>
      <w:r>
        <w:rPr>
          <w:b/>
          <w:bCs/>
          <w:color w:val="0F5C4C"/>
          <w:sz w:val="30"/>
          <w:szCs w:val="30"/>
        </w:rPr>
        <w:t xml:space="preserve">3. Detailed Section-by-Section Guide</w:t>
      </w:r>
    </w:p>
    <w:p>
      <w:pPr>
        <w:spacing w:after="120"/>
        <w:jc w:val="both"/>
      </w:pPr>
      <w:r>
        <w:rPr>
          <w:b w:val="false"/>
          <w:bCs w:val="false"/>
          <w:color w:val="2B2F33"/>
          <w:sz w:val="21"/>
          <w:szCs w:val="21"/>
        </w:rPr>
        <w:t xml:space="preserve">Every screen in the sidebar, explained — including each screen’s tabs. Open only the ones your role shows. Sections are grouped the same way as the sidebar: Overview, General Ledger, Transactions, and Planning &amp; Analysis.</w:t>
      </w:r>
    </w:p>
    <w:p>
      <w:pPr>
        <w:pStyle w:val="Heading3"/>
        <w:spacing w:after="60" w:before="180"/>
      </w:pPr>
      <w:r>
        <w:rPr>
          <w:b/>
          <w:bCs/>
          <w:color w:val="B8863B"/>
          <w:sz w:val="24"/>
          <w:szCs w:val="24"/>
        </w:rPr>
        <w:t xml:space="preserve">3.1 Dashboard (Overview)</w:t>
      </w:r>
    </w:p>
    <w:p>
      <w:pPr>
        <w:spacing w:after="120"/>
        <w:jc w:val="both"/>
      </w:pPr>
      <w:r>
        <w:rPr>
          <w:b w:val="false"/>
          <w:bCs w:val="false"/>
          <w:color w:val="2B2F33"/>
          <w:sz w:val="21"/>
          <w:szCs w:val="21"/>
        </w:rPr>
        <w:t xml:space="preserve">The landing page. Shows today’s and this month’s sales, cash position, and quick counts. Use it as your morning check together with the 🔔 notification bell (new concerns, submitted forms, and deadline reminders such as the 5th-of-month service invoice).</w:t>
      </w:r>
    </w:p>
    <w:p>
      <w:pPr>
        <w:pStyle w:val="Heading3"/>
        <w:spacing w:after="60" w:before="180"/>
      </w:pPr>
      <w:r>
        <w:rPr>
          <w:b/>
          <w:bCs/>
          <w:color w:val="B8863B"/>
          <w:sz w:val="24"/>
          <w:szCs w:val="24"/>
        </w:rPr>
        <w:t xml:space="preserve">3.2 Chart of Accounts (General Ledger)</w:t>
      </w:r>
    </w:p>
    <w:p>
      <w:pPr>
        <w:spacing w:after="120"/>
        <w:jc w:val="both"/>
      </w:pPr>
      <w:r>
        <w:rPr>
          <w:b w:val="false"/>
          <w:bCs w:val="false"/>
          <w:color w:val="2B2F33"/>
          <w:sz w:val="21"/>
          <w:szCs w:val="21"/>
        </w:rPr>
        <w:t xml:space="preserve">The master list of accounts — every peso lands in one of these. Each account has a number (e.g. 7010 Physical Therapy Revenue, 2070 PPE &amp; Lease Improvements), a type (Asset / Liability / Equity / Revenue / Expense), and flags such as “is a bank account.” This is the backbone every other screen posts to. Add or edit accounts here; the ⌘K global search can jump straight to one.</w:t>
      </w:r>
    </w:p>
    <w:p>
      <w:pPr>
        <w:pStyle w:val="Heading3"/>
        <w:spacing w:after="60" w:before="180"/>
      </w:pPr>
      <w:r>
        <w:rPr>
          <w:b/>
          <w:bCs/>
          <w:color w:val="B8863B"/>
          <w:sz w:val="24"/>
          <w:szCs w:val="24"/>
        </w:rPr>
        <w:t xml:space="preserve">3.3 Beginning Balances &amp; Bank Reconciliation</w:t>
      </w:r>
    </w:p>
    <w:p>
      <w:pPr>
        <w:pStyle w:val="ListParagraph"/>
        <w:numPr>
          <w:ilvl w:val="0"/>
          <w:numId w:val="1"/>
        </w:numPr>
        <w:spacing w:after="40"/>
      </w:pPr>
      <w:r>
        <w:rPr>
          <w:b/>
          <w:bCs/>
          <w:color w:val="2B2F33"/>
          <w:sz w:val="21"/>
          <w:szCs w:val="21"/>
        </w:rPr>
        <w:t xml:space="preserve">Beginning Balances</w:t>
      </w:r>
      <w:r>
        <w:rPr>
          <w:b w:val="false"/>
          <w:bCs w:val="false"/>
          <w:color w:val="2B2F33"/>
          <w:sz w:val="21"/>
          <w:szCs w:val="21"/>
        </w:rPr>
        <w:t xml:space="preserve"> — the opening figure per account for a year (e.g. each bank’s starting balance). Bank reconciliation only counts Hub entries on/after the balance’s start date.</w:t>
      </w:r>
    </w:p>
    <w:p>
      <w:pPr>
        <w:pStyle w:val="ListParagraph"/>
        <w:numPr>
          <w:ilvl w:val="0"/>
          <w:numId w:val="1"/>
        </w:numPr>
        <w:spacing w:after="40"/>
      </w:pPr>
      <w:r>
        <w:rPr>
          <w:b/>
          <w:bCs/>
          <w:color w:val="2B2F33"/>
          <w:sz w:val="21"/>
          <w:szCs w:val="21"/>
        </w:rPr>
        <w:t xml:space="preserve">Bank Reconciliation</w:t>
      </w:r>
      <w:r>
        <w:rPr>
          <w:b w:val="false"/>
          <w:bCs w:val="false"/>
          <w:color w:val="2B2F33"/>
          <w:sz w:val="21"/>
          <w:szCs w:val="21"/>
        </w:rPr>
        <w:t xml:space="preserve"> — match the Hub’s recorded bank movements against the actual bank statement, and tick off what has cleared. Fund transfers, PayMongo payouts, and payments all surface here for matching.</w:t>
      </w:r>
    </w:p>
    <w:p>
      <w:pPr>
        <w:pStyle w:val="Heading3"/>
        <w:spacing w:after="60" w:before="180"/>
      </w:pPr>
      <w:r>
        <w:rPr>
          <w:b/>
          <w:bCs/>
          <w:color w:val="B8863B"/>
          <w:sz w:val="24"/>
          <w:szCs w:val="24"/>
        </w:rPr>
        <w:t xml:space="preserve">3.4 Petty Cash (Transactions)</w:t>
      </w:r>
    </w:p>
    <w:p>
      <w:pPr>
        <w:spacing w:after="120"/>
        <w:jc w:val="both"/>
      </w:pPr>
      <w:r>
        <w:rPr>
          <w:b w:val="false"/>
          <w:bCs w:val="false"/>
          <w:color w:val="2B2F33"/>
          <w:sz w:val="21"/>
          <w:szCs w:val="21"/>
        </w:rPr>
        <w:t xml:space="preserve">The small-cash log. Each entry gets a PCV number, an account, a supplier, an amount (with VAT split), and a proof upload. Entries are reviewed and audited before they flow into reports and can be reimbursed. Locked once used in a reimbursement.</w:t>
      </w:r>
    </w:p>
    <w:p>
      <w:pPr>
        <w:pStyle w:val="Heading3"/>
        <w:spacing w:after="60" w:before="180"/>
      </w:pPr>
      <w:r>
        <w:rPr>
          <w:b/>
          <w:bCs/>
          <w:color w:val="B8863B"/>
          <w:sz w:val="24"/>
          <w:szCs w:val="24"/>
        </w:rPr>
        <w:t xml:space="preserve">3.5 Expenses</w:t>
      </w:r>
    </w:p>
    <w:p>
      <w:pPr>
        <w:spacing w:after="120"/>
        <w:jc w:val="both"/>
      </w:pPr>
      <w:r>
        <w:rPr>
          <w:b w:val="false"/>
          <w:bCs w:val="false"/>
          <w:color w:val="2B2F33"/>
          <w:sz w:val="21"/>
          <w:szCs w:val="21"/>
        </w:rPr>
        <w:t xml:space="preserve">The main payables workspace. Its tabs:</w:t>
      </w:r>
    </w:p>
    <w:p>
      <w:pPr>
        <w:pStyle w:val="ListParagraph"/>
        <w:numPr>
          <w:ilvl w:val="0"/>
          <w:numId w:val="1"/>
        </w:numPr>
        <w:spacing w:after="40"/>
      </w:pPr>
      <w:r>
        <w:rPr>
          <w:b/>
          <w:bCs/>
          <w:color w:val="2B2F33"/>
          <w:sz w:val="21"/>
          <w:szCs w:val="21"/>
        </w:rPr>
        <w:t xml:space="preserve">Recurring</w:t>
      </w:r>
      <w:r>
        <w:rPr>
          <w:b w:val="false"/>
          <w:bCs w:val="false"/>
          <w:color w:val="2B2F33"/>
          <w:sz w:val="21"/>
          <w:szCs w:val="21"/>
        </w:rPr>
        <w:t xml:space="preserve"> — repeating bills (rent, utilities, subscriptions); the system schedules them and reminds you before they are due. Supports prepaid amortization.</w:t>
      </w:r>
    </w:p>
    <w:p>
      <w:pPr>
        <w:pStyle w:val="ListParagraph"/>
        <w:numPr>
          <w:ilvl w:val="0"/>
          <w:numId w:val="1"/>
        </w:numPr>
        <w:spacing w:after="40"/>
      </w:pPr>
      <w:r>
        <w:rPr>
          <w:b/>
          <w:bCs/>
          <w:color w:val="2B2F33"/>
          <w:sz w:val="21"/>
          <w:szCs w:val="21"/>
        </w:rPr>
        <w:t xml:space="preserve">One-time</w:t>
      </w:r>
      <w:r>
        <w:rPr>
          <w:b w:val="false"/>
          <w:bCs w:val="false"/>
          <w:color w:val="2B2F33"/>
          <w:sz w:val="21"/>
          <w:szCs w:val="21"/>
        </w:rPr>
        <w:t xml:space="preserve"> — ad-hoc purchases.</w:t>
      </w:r>
    </w:p>
    <w:p>
      <w:pPr>
        <w:pStyle w:val="ListParagraph"/>
        <w:numPr>
          <w:ilvl w:val="0"/>
          <w:numId w:val="1"/>
        </w:numPr>
        <w:spacing w:after="40"/>
      </w:pPr>
      <w:r>
        <w:rPr>
          <w:b/>
          <w:bCs/>
          <w:color w:val="2B2F33"/>
          <w:sz w:val="21"/>
          <w:szCs w:val="21"/>
        </w:rPr>
        <w:t xml:space="preserve">Credit Card Report</w:t>
      </w:r>
      <w:r>
        <w:rPr>
          <w:b w:val="false"/>
          <w:bCs w:val="false"/>
          <w:color w:val="2B2F33"/>
          <w:sz w:val="21"/>
          <w:szCs w:val="21"/>
        </w:rPr>
        <w:t xml:space="preserve"> — expenses charged to a company card, grouped for the statement.</w:t>
      </w:r>
    </w:p>
    <w:p>
      <w:pPr>
        <w:pStyle w:val="ListParagraph"/>
        <w:numPr>
          <w:ilvl w:val="0"/>
          <w:numId w:val="1"/>
        </w:numPr>
        <w:spacing w:after="40"/>
      </w:pPr>
      <w:r>
        <w:rPr>
          <w:b/>
          <w:bCs/>
          <w:color w:val="2B2F33"/>
          <w:sz w:val="21"/>
          <w:szCs w:val="21"/>
        </w:rPr>
        <w:t xml:space="preserve">Expense Report</w:t>
      </w:r>
      <w:r>
        <w:rPr>
          <w:b w:val="false"/>
          <w:bCs w:val="false"/>
          <w:color w:val="2B2F33"/>
          <w:sz w:val="21"/>
          <w:szCs w:val="21"/>
        </w:rPr>
        <w:t xml:space="preserve"> — the consolidated paid-expenses view, with a Source column (One-time, Recurring, Petty Cash, Salaries, Benefits, Cash Advance).</w:t>
      </w:r>
    </w:p>
    <w:p>
      <w:pPr>
        <w:pStyle w:val="ListParagraph"/>
        <w:numPr>
          <w:ilvl w:val="0"/>
          <w:numId w:val="1"/>
        </w:numPr>
        <w:spacing w:after="40"/>
      </w:pPr>
      <w:r>
        <w:rPr>
          <w:b/>
          <w:bCs/>
          <w:color w:val="2B2F33"/>
          <w:sz w:val="21"/>
          <w:szCs w:val="21"/>
        </w:rPr>
        <w:t xml:space="preserve">Suppliers</w:t>
      </w:r>
      <w:r>
        <w:rPr>
          <w:b w:val="false"/>
          <w:bCs w:val="false"/>
          <w:color w:val="2B2F33"/>
          <w:sz w:val="21"/>
          <w:szCs w:val="21"/>
        </w:rPr>
        <w:t xml:space="preserve"> — the vendor directory. Add / edit details, import via Excel, filter by Valid / Invalid (a supplier with both is treated as Valid), and click a supplier to see all its transactions — date, description, valid/invalid, gross, VAT, and net of VAT.</w:t>
      </w:r>
    </w:p>
    <w:p>
      <w:pPr>
        <w:spacing w:after="120"/>
        <w:jc w:val="both"/>
      </w:pPr>
      <w:r>
        <w:rPr>
          <w:b w:val="false"/>
          <w:bCs w:val="false"/>
          <w:color w:val="2B2F33"/>
          <w:sz w:val="21"/>
          <w:szCs w:val="21"/>
        </w:rPr>
        <w:t xml:space="preserve">Audited entries are grouped into a Request for Payment (RFP) that prints as a Billing Voucher; then record the payment (cash / check / bank / credit card).</w:t>
      </w:r>
    </w:p>
    <w:p>
      <w:pPr>
        <w:pBdr>
          <w:left w:val="single" w:color="0F5C4C" w:sz="18" w:space="8"/>
        </w:pBdr>
        <w:shd w:fill="E5F0EC" w:val="clear"/>
        <w:spacing w:after="140" w:before="60"/>
      </w:pPr>
      <w:r>
        <w:rPr>
          <w:b/>
          <w:bCs/>
          <w:color w:val="0F5C4C"/>
          <w:sz w:val="21"/>
          <w:szCs w:val="21"/>
        </w:rPr>
        <w:t xml:space="preserve">Voucher order &amp; accounts: </w:t>
      </w:r>
      <w:r>
        <w:rPr>
          <w:color w:val="2B2F33"/>
          <w:sz w:val="21"/>
          <w:szCs w:val="21"/>
        </w:rPr>
        <w:t xml:space="preserve">Billing-Voucher lines print in the exact order they were entered. Always set the Account Title on every entry — a blank account prints blank on the voucher.</w:t>
      </w:r>
    </w:p>
    <w:p>
      <w:pPr>
        <w:pStyle w:val="Heading3"/>
        <w:spacing w:after="60" w:before="180"/>
      </w:pPr>
      <w:r>
        <w:rPr>
          <w:b/>
          <w:bCs/>
          <w:color w:val="B8863B"/>
          <w:sz w:val="24"/>
          <w:szCs w:val="24"/>
        </w:rPr>
        <w:t xml:space="preserve">3.6 Cash Advances</w:t>
      </w:r>
    </w:p>
    <w:p>
      <w:pPr>
        <w:spacing w:after="120"/>
        <w:jc w:val="both"/>
      </w:pPr>
      <w:r>
        <w:rPr>
          <w:b w:val="false"/>
          <w:bCs w:val="false"/>
          <w:color w:val="2B2F33"/>
          <w:sz w:val="21"/>
          <w:szCs w:val="21"/>
        </w:rPr>
        <w:t xml:space="preserve">For event floats and staff advances. Release cash (recorded as a receivable — money owed back to the company), liquidate it against receipts (the spent portion becomes an expense), and return the unused balance. Proof is attached at each step, and liquidations also appear in the Expense Report tagged “Cash Advance.”</w:t>
      </w:r>
    </w:p>
    <w:p>
      <w:pPr>
        <w:pStyle w:val="Heading3"/>
        <w:spacing w:after="60" w:before="180"/>
      </w:pPr>
      <w:r>
        <w:rPr>
          <w:b/>
          <w:bCs/>
          <w:color w:val="B8863B"/>
          <w:sz w:val="24"/>
          <w:szCs w:val="24"/>
        </w:rPr>
        <w:t xml:space="preserve">3.7 Inventory &amp; Procurement</w:t>
      </w:r>
    </w:p>
    <w:p>
      <w:pPr>
        <w:pStyle w:val="ListParagraph"/>
        <w:numPr>
          <w:ilvl w:val="0"/>
          <w:numId w:val="1"/>
        </w:numPr>
        <w:spacing w:after="40"/>
      </w:pPr>
      <w:r>
        <w:rPr>
          <w:b/>
          <w:bCs/>
          <w:color w:val="2B2F33"/>
          <w:sz w:val="21"/>
          <w:szCs w:val="21"/>
        </w:rPr>
        <w:t xml:space="preserve">Inventory</w:t>
      </w:r>
      <w:r>
        <w:rPr>
          <w:b w:val="false"/>
          <w:bCs w:val="false"/>
          <w:color w:val="2B2F33"/>
          <w:sz w:val="21"/>
          <w:szCs w:val="21"/>
        </w:rPr>
        <w:t xml:space="preserve"> — stock on hand, opening batches, consumption, and freight capitalization; product stock can auto-sync with the store by SKU.</w:t>
      </w:r>
    </w:p>
    <w:p>
      <w:pPr>
        <w:pStyle w:val="ListParagraph"/>
        <w:numPr>
          <w:ilvl w:val="0"/>
          <w:numId w:val="1"/>
        </w:numPr>
        <w:spacing w:after="40"/>
      </w:pPr>
      <w:r>
        <w:rPr>
          <w:b/>
          <w:bCs/>
          <w:color w:val="2B2F33"/>
          <w:sz w:val="21"/>
          <w:szCs w:val="21"/>
        </w:rPr>
        <w:t xml:space="preserve">Forms</w:t>
      </w:r>
      <w:r>
        <w:rPr>
          <w:b w:val="false"/>
          <w:bCs w:val="false"/>
          <w:color w:val="2B2F33"/>
          <w:sz w:val="21"/>
          <w:szCs w:val="21"/>
        </w:rPr>
        <w:t xml:space="preserve"> subtab — attach and track operational forms. The list of available forms is pulled live from the HR Hub Templates catalogue (see Section 4).</w:t>
      </w:r>
    </w:p>
    <w:p>
      <w:pPr>
        <w:pStyle w:val="Heading3"/>
        <w:spacing w:after="60" w:before="180"/>
      </w:pPr>
      <w:r>
        <w:rPr>
          <w:b/>
          <w:bCs/>
          <w:color w:val="B8863B"/>
          <w:sz w:val="24"/>
          <w:szCs w:val="24"/>
        </w:rPr>
        <w:t xml:space="preserve">3.8 Asset Management</w:t>
      </w:r>
    </w:p>
    <w:p>
      <w:pPr>
        <w:spacing w:after="120"/>
        <w:jc w:val="both"/>
      </w:pPr>
      <w:r>
        <w:rPr>
          <w:b w:val="false"/>
          <w:bCs w:val="false"/>
          <w:color w:val="2B2F33"/>
          <w:sz w:val="21"/>
          <w:szCs w:val="21"/>
        </w:rPr>
        <w:t xml:space="preserve">The fixed-asset register (the audit’s official asset list). Each asset carries a control number (e.g. AHEA-2024-0007), cost, purchase date, classification (which PPE account it belongs to, e.g. 2050 Furniture, 2070 PPE &amp; Lease Improvements), useful life, monthly depreciation, custodian, supplier, and photos. Front desk can add/rename; only Admin/Accountant/Bookkeeper/branch-admin can delete.</w:t>
      </w:r>
    </w:p>
    <w:p>
      <w:pPr>
        <w:pStyle w:val="Heading3"/>
        <w:spacing w:after="60" w:before="180"/>
      </w:pPr>
      <w:r>
        <w:rPr>
          <w:b/>
          <w:bCs/>
          <w:color w:val="B8863B"/>
          <w:sz w:val="24"/>
          <w:szCs w:val="24"/>
        </w:rPr>
        <w:t xml:space="preserve">3.9 Services</w:t>
      </w:r>
    </w:p>
    <w:p>
      <w:pPr>
        <w:pStyle w:val="ListParagraph"/>
        <w:numPr>
          <w:ilvl w:val="0"/>
          <w:numId w:val="1"/>
        </w:numPr>
        <w:spacing w:after="40"/>
      </w:pPr>
      <w:r>
        <w:rPr>
          <w:b w:val="false"/>
          <w:bCs w:val="false"/>
          <w:color w:val="2B2F33"/>
          <w:sz w:val="21"/>
          <w:szCs w:val="21"/>
        </w:rPr>
        <w:t xml:space="preserve">Maintain each service’s name, department, branch, price, VAT, revenue account, and HMO/GL tagging.</w:t>
      </w:r>
    </w:p>
    <w:p>
      <w:pPr>
        <w:pStyle w:val="ListParagraph"/>
        <w:numPr>
          <w:ilvl w:val="0"/>
          <w:numId w:val="1"/>
        </w:numPr>
        <w:spacing w:after="40"/>
      </w:pPr>
      <w:r>
        <w:rPr>
          <w:b w:val="false"/>
          <w:bCs w:val="false"/>
          <w:color w:val="2B2F33"/>
          <w:sz w:val="21"/>
          <w:szCs w:val="21"/>
        </w:rPr>
        <w:t xml:space="preserve">Schedule a change with a </w:t>
      </w:r>
      <w:r>
        <w:rPr>
          <w:b/>
          <w:bCs/>
          <w:color w:val="2B2F33"/>
          <w:sz w:val="21"/>
          <w:szCs w:val="21"/>
        </w:rPr>
        <w:t xml:space="preserve">New Price</w:t>
      </w:r>
      <w:r>
        <w:rPr>
          <w:b w:val="false"/>
          <w:bCs w:val="false"/>
          <w:color w:val="2B2F33"/>
          <w:sz w:val="21"/>
          <w:szCs w:val="21"/>
        </w:rPr>
        <w:t xml:space="preserve"> + </w:t>
      </w:r>
      <w:r>
        <w:rPr>
          <w:b/>
          <w:bCs/>
          <w:color w:val="2B2F33"/>
          <w:sz w:val="21"/>
          <w:szCs w:val="21"/>
        </w:rPr>
        <w:t xml:space="preserve">Effective Date</w:t>
      </w:r>
      <w:r>
        <w:rPr>
          <w:b w:val="false"/>
          <w:bCs w:val="false"/>
          <w:color w:val="2B2F33"/>
          <w:sz w:val="21"/>
          <w:szCs w:val="21"/>
        </w:rPr>
        <w:t xml:space="preserve"> (e.g. SPED PT +10% from Aug 1).</w:t>
      </w:r>
    </w:p>
    <w:p>
      <w:pPr>
        <w:pStyle w:val="ListParagraph"/>
        <w:numPr>
          <w:ilvl w:val="0"/>
          <w:numId w:val="1"/>
        </w:numPr>
        <w:spacing w:after="40"/>
      </w:pPr>
      <w:r>
        <w:rPr>
          <w:b w:val="false"/>
          <w:bCs w:val="false"/>
          <w:color w:val="2B2F33"/>
          <w:sz w:val="21"/>
          <w:szCs w:val="21"/>
        </w:rPr>
        <w:t xml:space="preserve">Use </w:t>
      </w:r>
      <w:r>
        <w:rPr>
          <w:b/>
          <w:bCs/>
          <w:color w:val="2B2F33"/>
          <w:sz w:val="21"/>
          <w:szCs w:val="21"/>
        </w:rPr>
        <w:t xml:space="preserve">Per-Branch Price Overrides</w:t>
      </w:r>
      <w:r>
        <w:rPr>
          <w:b w:val="false"/>
          <w:bCs w:val="false"/>
          <w:color w:val="2B2F33"/>
          <w:sz w:val="21"/>
          <w:szCs w:val="21"/>
        </w:rPr>
        <w:t xml:space="preserve"> when East and Greenhills charge differently.</w:t>
      </w:r>
    </w:p>
    <w:p>
      <w:pPr>
        <w:pStyle w:val="Heading3"/>
        <w:spacing w:after="60" w:before="180"/>
      </w:pPr>
      <w:r>
        <w:rPr>
          <w:b/>
          <w:bCs/>
          <w:color w:val="B8863B"/>
          <w:sz w:val="24"/>
          <w:szCs w:val="24"/>
        </w:rPr>
        <w:t xml:space="preserve">3.10 Point of Sale (POS)</w:t>
      </w:r>
    </w:p>
    <w:p>
      <w:pPr>
        <w:spacing w:after="120"/>
        <w:jc w:val="both"/>
      </w:pPr>
      <w:r>
        <w:rPr>
          <w:b w:val="false"/>
          <w:bCs w:val="false"/>
          <w:color w:val="2B2F33"/>
          <w:sz w:val="21"/>
          <w:szCs w:val="21"/>
        </w:rPr>
        <w:t xml:space="preserve">The cashier and order book. Its areas:</w:t>
      </w:r>
    </w:p>
    <w:p>
      <w:pPr>
        <w:pStyle w:val="ListParagraph"/>
        <w:numPr>
          <w:ilvl w:val="0"/>
          <w:numId w:val="1"/>
        </w:numPr>
        <w:spacing w:after="40"/>
      </w:pPr>
      <w:r>
        <w:rPr>
          <w:b/>
          <w:bCs/>
          <w:color w:val="2B2F33"/>
          <w:sz w:val="21"/>
          <w:szCs w:val="21"/>
        </w:rPr>
        <w:t xml:space="preserve">Cashier</w:t>
      </w:r>
      <w:r>
        <w:rPr>
          <w:b w:val="false"/>
          <w:bCs w:val="false"/>
          <w:color w:val="2B2F33"/>
          <w:sz w:val="21"/>
          <w:szCs w:val="21"/>
        </w:rPr>
        <w:t xml:space="preserve"> — pick branch, add services/products, set patient/clinician, apply a discount (PWD/Senior 20% or a custom discount), take payment (cash, card, GCash/Maya, HMO, Guarantee Letter, package/wallet), or save as Unpaid to collect later. Print receipt / official invoice.</w:t>
      </w:r>
    </w:p>
    <w:p>
      <w:pPr>
        <w:pStyle w:val="ListParagraph"/>
        <w:numPr>
          <w:ilvl w:val="0"/>
          <w:numId w:val="1"/>
        </w:numPr>
        <w:spacing w:after="40"/>
      </w:pPr>
      <w:r>
        <w:rPr>
          <w:b/>
          <w:bCs/>
          <w:color w:val="2B2F33"/>
          <w:sz w:val="21"/>
          <w:szCs w:val="21"/>
        </w:rPr>
        <w:t xml:space="preserve">Orders</w:t>
      </w:r>
      <w:r>
        <w:rPr>
          <w:b w:val="false"/>
          <w:bCs w:val="false"/>
          <w:color w:val="2B2F33"/>
          <w:sz w:val="21"/>
          <w:szCs w:val="21"/>
        </w:rPr>
        <w:t xml:space="preserve"> — every sale becomes an order you can view, reprint, record payment on, refund, void, or reopen (with a reason). Voiding restores stock, reverses wallet/points, and keeps the audit trail.</w:t>
      </w:r>
    </w:p>
    <w:p>
      <w:pPr>
        <w:pStyle w:val="ListParagraph"/>
        <w:numPr>
          <w:ilvl w:val="0"/>
          <w:numId w:val="1"/>
        </w:numPr>
        <w:spacing w:after="40"/>
      </w:pPr>
      <w:r>
        <w:rPr>
          <w:b/>
          <w:bCs/>
          <w:color w:val="2B2F33"/>
          <w:sz w:val="21"/>
          <w:szCs w:val="21"/>
        </w:rPr>
        <w:t xml:space="preserve">Discount Settings</w:t>
      </w:r>
      <w:r>
        <w:rPr>
          <w:b w:val="false"/>
          <w:bCs w:val="false"/>
          <w:color w:val="2B2F33"/>
          <w:sz w:val="21"/>
          <w:szCs w:val="21"/>
        </w:rPr>
        <w:t xml:space="preserve"> — define reusable discounts. Each can be limited to specific departments (tick/untick), tied to a wallet type, and mapped to a discount account.</w:t>
      </w:r>
    </w:p>
    <w:p>
      <w:pPr>
        <w:pStyle w:val="ListParagraph"/>
        <w:numPr>
          <w:ilvl w:val="0"/>
          <w:numId w:val="1"/>
        </w:numPr>
        <w:spacing w:after="40"/>
      </w:pPr>
      <w:r>
        <w:rPr>
          <w:b/>
          <w:bCs/>
          <w:color w:val="2B2F33"/>
          <w:sz w:val="21"/>
          <w:szCs w:val="21"/>
        </w:rPr>
        <w:t xml:space="preserve">Referrers</w:t>
      </w:r>
      <w:r>
        <w:rPr>
          <w:b w:val="false"/>
          <w:bCs w:val="false"/>
          <w:color w:val="2B2F33"/>
          <w:sz w:val="21"/>
          <w:szCs w:val="21"/>
        </w:rPr>
        <w:t xml:space="preserve"> were moved out of POS into their own Referral section.</w:t>
      </w:r>
    </w:p>
    <w:p>
      <w:pPr>
        <w:pStyle w:val="Heading3"/>
        <w:spacing w:after="60" w:before="180"/>
      </w:pPr>
      <w:r>
        <w:rPr>
          <w:b/>
          <w:bCs/>
          <w:color w:val="B8863B"/>
          <w:sz w:val="24"/>
          <w:szCs w:val="24"/>
        </w:rPr>
        <w:t xml:space="preserve">3.11 PayMongo (online payments)</w:t>
      </w:r>
    </w:p>
    <w:p>
      <w:pPr>
        <w:pStyle w:val="ListParagraph"/>
        <w:numPr>
          <w:ilvl w:val="0"/>
          <w:numId w:val="2"/>
        </w:numPr>
        <w:spacing w:after="40"/>
      </w:pPr>
      <w:r>
        <w:rPr>
          <w:b w:val="false"/>
          <w:bCs w:val="false"/>
          <w:color w:val="2B2F33"/>
          <w:sz w:val="21"/>
          <w:szCs w:val="21"/>
        </w:rPr>
        <w:t xml:space="preserve">Keep </w:t>
      </w:r>
      <w:r>
        <w:rPr>
          <w:b/>
          <w:bCs/>
          <w:color w:val="2B2F33"/>
          <w:sz w:val="21"/>
          <w:szCs w:val="21"/>
        </w:rPr>
        <w:t xml:space="preserve">Record as a POS sale</w:t>
      </w:r>
      <w:r>
        <w:rPr>
          <w:b w:val="false"/>
          <w:bCs w:val="false"/>
          <w:color w:val="2B2F33"/>
          <w:sz w:val="21"/>
          <w:szCs w:val="21"/>
        </w:rPr>
        <w:t xml:space="preserve"> ticked; choose Payment type (Tuition = earned; Downpayment = unearned deposit) and branch.</w:t>
      </w:r>
    </w:p>
    <w:p>
      <w:pPr>
        <w:pStyle w:val="ListParagraph"/>
        <w:numPr>
          <w:ilvl w:val="0"/>
          <w:numId w:val="2"/>
        </w:numPr>
        <w:spacing w:after="40"/>
      </w:pPr>
      <w:r>
        <w:rPr>
          <w:b/>
          <w:bCs/>
          <w:color w:val="2B2F33"/>
          <w:sz w:val="21"/>
          <w:szCs w:val="21"/>
        </w:rPr>
        <w:t xml:space="preserve">+ Add a service</w:t>
      </w:r>
      <w:r>
        <w:rPr>
          <w:b w:val="false"/>
          <w:bCs w:val="false"/>
          <w:color w:val="2B2F33"/>
          <w:sz w:val="21"/>
          <w:szCs w:val="21"/>
        </w:rPr>
        <w:t xml:space="preserve"> — the branch price fills in; add a voucher/discount if needed.</w:t>
      </w:r>
    </w:p>
    <w:p>
      <w:pPr>
        <w:pStyle w:val="ListParagraph"/>
        <w:numPr>
          <w:ilvl w:val="0"/>
          <w:numId w:val="2"/>
        </w:numPr>
        <w:spacing w:after="40"/>
      </w:pPr>
      <w:r>
        <w:rPr>
          <w:b/>
          <w:bCs/>
          <w:color w:val="2B2F33"/>
          <w:sz w:val="21"/>
          <w:szCs w:val="21"/>
        </w:rPr>
        <w:t xml:space="preserve">Create payment link</w:t>
      </w:r>
      <w:r>
        <w:rPr>
          <w:b w:val="false"/>
          <w:bCs w:val="false"/>
          <w:color w:val="2B2F33"/>
          <w:sz w:val="21"/>
          <w:szCs w:val="21"/>
        </w:rPr>
        <w:t xml:space="preserve"> and send it (or show the QR); delete a link while it is still unpaid if it was a mistake.</w:t>
      </w:r>
    </w:p>
    <w:p>
      <w:pPr>
        <w:pStyle w:val="ListParagraph"/>
        <w:numPr>
          <w:ilvl w:val="0"/>
          <w:numId w:val="2"/>
        </w:numPr>
        <w:spacing w:after="40"/>
      </w:pPr>
      <w:r>
        <w:rPr>
          <w:b w:val="false"/>
          <w:bCs w:val="false"/>
          <w:color w:val="2B2F33"/>
          <w:sz w:val="21"/>
          <w:szCs w:val="21"/>
        </w:rPr>
        <w:t xml:space="preserve">On payment it flips to Paid, records a POS Order net of the PayMongo fee (7140 Merchant Discount Rate), and parks the money in PayMongo Clearing.</w:t>
      </w:r>
    </w:p>
    <w:p>
      <w:pPr>
        <w:pStyle w:val="ListParagraph"/>
        <w:numPr>
          <w:ilvl w:val="0"/>
          <w:numId w:val="2"/>
        </w:numPr>
        <w:spacing w:after="40"/>
      </w:pPr>
      <w:r>
        <w:rPr>
          <w:b w:val="false"/>
          <w:bCs w:val="false"/>
          <w:color w:val="2B2F33"/>
          <w:sz w:val="21"/>
          <w:szCs w:val="21"/>
        </w:rPr>
        <w:t xml:space="preserve">Set “PayMongo deposits to” to your bank once; payouts then auto-reconcile to it. Use Sync if a paid link did not update.</w:t>
      </w:r>
    </w:p>
    <w:p>
      <w:pPr>
        <w:pBdr>
          <w:left w:val="single" w:color="0F5C4C" w:sz="18" w:space="8"/>
        </w:pBdr>
        <w:shd w:fill="E5F0EC" w:val="clear"/>
        <w:spacing w:after="140" w:before="60"/>
      </w:pPr>
      <w:r>
        <w:rPr>
          <w:b/>
          <w:bCs/>
          <w:color w:val="0F5C4C"/>
          <w:sz w:val="21"/>
          <w:szCs w:val="21"/>
        </w:rPr>
        <w:t xml:space="preserve">Test vs live: </w:t>
      </w:r>
      <w:r>
        <w:rPr>
          <w:color w:val="2B2F33"/>
          <w:sz w:val="21"/>
          <w:szCs w:val="21"/>
        </w:rPr>
        <w:t xml:space="preserve">In TEST MODE no real money moves and test links never post to the real books — delete them after testing. Real collection begins only in LIVE MODE.</w:t>
      </w:r>
    </w:p>
    <w:p>
      <w:pPr>
        <w:pStyle w:val="Heading3"/>
        <w:spacing w:after="60" w:before="180"/>
      </w:pPr>
      <w:r>
        <w:rPr>
          <w:b/>
          <w:bCs/>
          <w:color w:val="B8863B"/>
          <w:sz w:val="24"/>
          <w:szCs w:val="24"/>
        </w:rPr>
        <w:t xml:space="preserve">3.12 Referral</w:t>
      </w:r>
    </w:p>
    <w:p>
      <w:pPr>
        <w:pStyle w:val="ListParagraph"/>
        <w:numPr>
          <w:ilvl w:val="0"/>
          <w:numId w:val="1"/>
        </w:numPr>
        <w:spacing w:after="40"/>
      </w:pPr>
      <w:r>
        <w:rPr>
          <w:b/>
          <w:bCs/>
          <w:color w:val="2B2F33"/>
          <w:sz w:val="21"/>
          <w:szCs w:val="21"/>
        </w:rPr>
        <w:t xml:space="preserve">Referrers</w:t>
      </w:r>
      <w:r>
        <w:rPr>
          <w:b w:val="false"/>
          <w:bCs w:val="false"/>
          <w:color w:val="2B2F33"/>
          <w:sz w:val="21"/>
          <w:szCs w:val="21"/>
        </w:rPr>
        <w:t xml:space="preserve"> — three searchable, sortable cards: Doctors, Law Firms, Partner Schools. Each referrer can be limited to a branch (untagged = all branches). Add / edit / CSV import; Affiliation &amp; Specialization show only for Doctors.</w:t>
      </w:r>
    </w:p>
    <w:p>
      <w:pPr>
        <w:pStyle w:val="ListParagraph"/>
        <w:numPr>
          <w:ilvl w:val="0"/>
          <w:numId w:val="1"/>
        </w:numPr>
        <w:spacing w:after="40"/>
      </w:pPr>
      <w:r>
        <w:rPr>
          <w:b/>
          <w:bCs/>
          <w:color w:val="2B2F33"/>
          <w:sz w:val="21"/>
          <w:szCs w:val="21"/>
        </w:rPr>
        <w:t xml:space="preserve">Referred Patients</w:t>
      </w:r>
      <w:r>
        <w:rPr>
          <w:b w:val="false"/>
          <w:bCs w:val="false"/>
          <w:color w:val="2B2F33"/>
          <w:sz w:val="21"/>
          <w:szCs w:val="21"/>
        </w:rPr>
        <w:t xml:space="preserve"> — link a patient (searched from the Operations Hub patient CRM) to a referrer; click a row to see that patient’s sessions with service, department, date, and net amount.</w:t>
      </w:r>
    </w:p>
    <w:p>
      <w:pPr>
        <w:pStyle w:val="ListParagraph"/>
        <w:numPr>
          <w:ilvl w:val="0"/>
          <w:numId w:val="1"/>
        </w:numPr>
        <w:spacing w:after="40"/>
      </w:pPr>
      <w:r>
        <w:rPr>
          <w:b/>
          <w:bCs/>
          <w:color w:val="2B2F33"/>
          <w:sz w:val="21"/>
          <w:szCs w:val="21"/>
        </w:rPr>
        <w:t xml:space="preserve">Referral Dashboard</w:t>
      </w:r>
      <w:r>
        <w:rPr>
          <w:b w:val="false"/>
          <w:bCs w:val="false"/>
          <w:color w:val="2B2F33"/>
          <w:sz w:val="21"/>
          <w:szCs w:val="21"/>
        </w:rPr>
        <w:t xml:space="preserve"> — tick which types to include; see the count of referrals and total net sales per referrer, plus the Top 5.</w:t>
      </w:r>
    </w:p>
    <w:p>
      <w:pPr>
        <w:pStyle w:val="Heading3"/>
        <w:spacing w:after="60" w:before="180"/>
      </w:pPr>
      <w:r>
        <w:rPr>
          <w:b/>
          <w:bCs/>
          <w:color w:val="B8863B"/>
          <w:sz w:val="24"/>
          <w:szCs w:val="24"/>
        </w:rPr>
        <w:t xml:space="preserve">3.13 Accounts Receivable</w:t>
      </w:r>
    </w:p>
    <w:p>
      <w:pPr>
        <w:spacing w:after="120"/>
        <w:jc w:val="both"/>
      </w:pPr>
      <w:r>
        <w:rPr>
          <w:b w:val="false"/>
          <w:bCs w:val="false"/>
          <w:color w:val="2B2F33"/>
          <w:sz w:val="21"/>
          <w:szCs w:val="21"/>
        </w:rPr>
        <w:t xml:space="preserve">Tracks HMO and Guarantee-Letter (GL) billings that come from POS on a consumption basis. Click an HMO/GL total for the per-patient breakdown, then record collections against it.</w:t>
      </w:r>
    </w:p>
    <w:p>
      <w:pPr>
        <w:pStyle w:val="Heading3"/>
        <w:spacing w:after="60" w:before="180"/>
      </w:pPr>
      <w:r>
        <w:rPr>
          <w:b/>
          <w:bCs/>
          <w:color w:val="B8863B"/>
          <w:sz w:val="24"/>
          <w:szCs w:val="24"/>
        </w:rPr>
        <w:t xml:space="preserve">3.14 Payroll</w:t>
      </w:r>
    </w:p>
    <w:p>
      <w:pPr>
        <w:pStyle w:val="ListParagraph"/>
        <w:numPr>
          <w:ilvl w:val="0"/>
          <w:numId w:val="2"/>
        </w:numPr>
        <w:spacing w:after="40"/>
      </w:pPr>
      <w:r>
        <w:rPr>
          <w:b w:val="false"/>
          <w:bCs w:val="false"/>
          <w:color w:val="2B2F33"/>
          <w:sz w:val="21"/>
          <w:szCs w:val="21"/>
        </w:rPr>
        <w:t xml:space="preserve">Upload timekeeping.</w:t>
      </w:r>
    </w:p>
    <w:p>
      <w:pPr>
        <w:pStyle w:val="ListParagraph"/>
        <w:numPr>
          <w:ilvl w:val="0"/>
          <w:numId w:val="2"/>
        </w:numPr>
        <w:spacing w:after="40"/>
      </w:pPr>
      <w:r>
        <w:rPr>
          <w:b w:val="false"/>
          <w:bCs w:val="false"/>
          <w:color w:val="2B2F33"/>
          <w:sz w:val="21"/>
          <w:szCs w:val="21"/>
        </w:rPr>
        <w:t xml:space="preserve">Generate the payroll register; use Pre-fill from Previous to carry items forward.</w:t>
      </w:r>
    </w:p>
    <w:p>
      <w:pPr>
        <w:pStyle w:val="ListParagraph"/>
        <w:numPr>
          <w:ilvl w:val="0"/>
          <w:numId w:val="2"/>
        </w:numPr>
        <w:spacing w:after="40"/>
      </w:pPr>
      <w:r>
        <w:rPr>
          <w:b w:val="false"/>
          <w:bCs w:val="false"/>
          <w:color w:val="2B2F33"/>
          <w:sz w:val="21"/>
          <w:szCs w:val="21"/>
        </w:rPr>
        <w:t xml:space="preserve">Generate employee and consultant payslips (Administration staff are auto-excluded from consultant payslips).</w:t>
      </w:r>
    </w:p>
    <w:p>
      <w:pPr>
        <w:pStyle w:val="ListParagraph"/>
        <w:numPr>
          <w:ilvl w:val="0"/>
          <w:numId w:val="2"/>
        </w:numPr>
        <w:spacing w:after="40"/>
      </w:pPr>
      <w:r>
        <w:rPr>
          <w:b w:val="false"/>
          <w:bCs w:val="false"/>
          <w:color w:val="2B2F33"/>
          <w:sz w:val="21"/>
          <w:szCs w:val="21"/>
        </w:rPr>
        <w:t xml:space="preserve">Record government contributions, produce the IEPR, and download the bank file for release.</w:t>
      </w:r>
    </w:p>
    <w:p>
      <w:pPr>
        <w:spacing w:after="120"/>
        <w:jc w:val="both"/>
      </w:pPr>
      <w:r>
        <w:rPr>
          <w:b w:val="false"/>
          <w:bCs w:val="false"/>
          <w:color w:val="2B2F33"/>
          <w:sz w:val="21"/>
          <w:szCs w:val="21"/>
        </w:rPr>
        <w:t xml:space="preserve">Staff records feed in automatically — Aura Health East/Greenhills from the Operations Hub, Verdana from the HR Hub (see Section 4).</w:t>
      </w:r>
    </w:p>
    <w:p>
      <w:pPr>
        <w:pStyle w:val="Heading3"/>
        <w:spacing w:after="60" w:before="180"/>
      </w:pPr>
      <w:r>
        <w:rPr>
          <w:b/>
          <w:bCs/>
          <w:color w:val="B8863B"/>
          <w:sz w:val="24"/>
          <w:szCs w:val="24"/>
        </w:rPr>
        <w:t xml:space="preserve">3.15 Taxes</w:t>
      </w:r>
    </w:p>
    <w:p>
      <w:pPr>
        <w:spacing w:after="120"/>
        <w:jc w:val="both"/>
      </w:pPr>
      <w:r>
        <w:rPr>
          <w:b w:val="false"/>
          <w:bCs w:val="false"/>
          <w:color w:val="2B2F33"/>
          <w:sz w:val="21"/>
          <w:szCs w:val="21"/>
        </w:rPr>
        <w:t xml:space="preserve">Six tabs, one per obligation: Withholding on Compensation, Expanded Withholding (EWT), VAT, Business Tax, Corporate Income Tax, and an RFP tab. Each computes the figure and can produce a Request for Payment / Billing Voucher with continuous numbering.</w:t>
      </w:r>
    </w:p>
    <w:p>
      <w:pPr>
        <w:pStyle w:val="Heading3"/>
        <w:spacing w:after="60" w:before="180"/>
      </w:pPr>
      <w:r>
        <w:rPr>
          <w:b/>
          <w:bCs/>
          <w:color w:val="B8863B"/>
          <w:sz w:val="24"/>
          <w:szCs w:val="24"/>
        </w:rPr>
        <w:t xml:space="preserve">3.16 Fund Transfer</w:t>
      </w:r>
    </w:p>
    <w:p>
      <w:pPr>
        <w:spacing w:after="120"/>
        <w:jc w:val="both"/>
      </w:pPr>
      <w:r>
        <w:rPr>
          <w:b w:val="false"/>
          <w:bCs w:val="false"/>
          <w:color w:val="2B2F33"/>
          <w:sz w:val="21"/>
          <w:szCs w:val="21"/>
        </w:rPr>
        <w:t xml:space="preserve">Move money between the company’s own bank accounts. The transfer posts a proper journal entry (out of one bank, into another) and both sides show up in Bank Reconciliation.</w:t>
      </w:r>
    </w:p>
    <w:p>
      <w:pPr>
        <w:pStyle w:val="Heading3"/>
        <w:spacing w:after="60" w:before="180"/>
      </w:pPr>
      <w:r>
        <w:rPr>
          <w:b/>
          <w:bCs/>
          <w:color w:val="B8863B"/>
          <w:sz w:val="24"/>
          <w:szCs w:val="24"/>
        </w:rPr>
        <w:t xml:space="preserve">3.17 Equity</w:t>
      </w:r>
    </w:p>
    <w:p>
      <w:pPr>
        <w:pStyle w:val="ListParagraph"/>
        <w:numPr>
          <w:ilvl w:val="0"/>
          <w:numId w:val="1"/>
        </w:numPr>
        <w:spacing w:after="40"/>
      </w:pPr>
      <w:r>
        <w:rPr>
          <w:b/>
          <w:bCs/>
          <w:color w:val="2B2F33"/>
          <w:sz w:val="21"/>
          <w:szCs w:val="21"/>
        </w:rPr>
        <w:t xml:space="preserve">Cards</w:t>
      </w:r>
      <w:r>
        <w:rPr>
          <w:b w:val="false"/>
          <w:bCs w:val="false"/>
          <w:color w:val="2B2F33"/>
          <w:sz w:val="21"/>
          <w:szCs w:val="21"/>
        </w:rPr>
        <w:t xml:space="preserve"> — Total Capitalization, Authorized Shares (with editable Common and Founders sub-limits), Outstanding, Treasury, and Total Common / Total Founders counts.</w:t>
      </w:r>
    </w:p>
    <w:p>
      <w:pPr>
        <w:pStyle w:val="ListParagraph"/>
        <w:numPr>
          <w:ilvl w:val="0"/>
          <w:numId w:val="1"/>
        </w:numPr>
        <w:spacing w:after="40"/>
      </w:pPr>
      <w:r>
        <w:rPr>
          <w:b/>
          <w:bCs/>
          <w:color w:val="2B2F33"/>
          <w:sz w:val="21"/>
          <w:szCs w:val="21"/>
        </w:rPr>
        <w:t xml:space="preserve">Tabs</w:t>
      </w:r>
      <w:r>
        <w:rPr>
          <w:b w:val="false"/>
          <w:bCs w:val="false"/>
          <w:color w:val="2B2F33"/>
          <w:sz w:val="21"/>
          <w:szCs w:val="21"/>
        </w:rPr>
        <w:t xml:space="preserve"> — Common Shares, Preferred Shares, and Dividend Release History. Record issuances, buybacks (which move shares into Treasury), and dividend releases.</w:t>
      </w:r>
    </w:p>
    <w:p>
      <w:pPr>
        <w:pStyle w:val="ListParagraph"/>
        <w:numPr>
          <w:ilvl w:val="0"/>
          <w:numId w:val="1"/>
        </w:numPr>
        <w:spacing w:after="40"/>
      </w:pPr>
      <w:r>
        <w:rPr>
          <w:b w:val="false"/>
          <w:bCs w:val="false"/>
          <w:color w:val="2B2F33"/>
          <w:sz w:val="21"/>
          <w:szCs w:val="21"/>
        </w:rPr>
        <w:t xml:space="preserve">An </w:t>
      </w:r>
      <w:r>
        <w:rPr>
          <w:b/>
          <w:bCs/>
          <w:color w:val="2B2F33"/>
          <w:sz w:val="21"/>
          <w:szCs w:val="21"/>
        </w:rPr>
        <w:t xml:space="preserve">⚠ over-authorized alarm</w:t>
      </w:r>
      <w:r>
        <w:rPr>
          <w:b w:val="false"/>
          <w:bCs w:val="false"/>
          <w:color w:val="2B2F33"/>
          <w:sz w:val="21"/>
          <w:szCs w:val="21"/>
        </w:rPr>
        <w:t xml:space="preserve"> warns when a class would exceed its authorized limit — including at the moment you add a shareholder that would breach the cap.</w:t>
      </w:r>
    </w:p>
    <w:p>
      <w:pPr>
        <w:pStyle w:val="ListParagraph"/>
        <w:numPr>
          <w:ilvl w:val="0"/>
          <w:numId w:val="1"/>
        </w:numPr>
        <w:spacing w:after="40"/>
      </w:pPr>
      <w:r>
        <w:rPr>
          <w:b/>
          <w:bCs/>
          <w:color w:val="2B2F33"/>
          <w:sz w:val="21"/>
          <w:szCs w:val="21"/>
        </w:rPr>
        <w:t xml:space="preserve">Download</w:t>
      </w:r>
      <w:r>
        <w:rPr>
          <w:b w:val="false"/>
          <w:bCs w:val="false"/>
          <w:color w:val="2B2F33"/>
          <w:sz w:val="21"/>
          <w:szCs w:val="21"/>
        </w:rPr>
        <w:t xml:space="preserve"> exports the shareholder list with Source (Original vs Purchase-from-Treasury) and Buyback date(s).</w:t>
      </w:r>
    </w:p>
    <w:p>
      <w:pPr>
        <w:pStyle w:val="ListParagraph"/>
        <w:numPr>
          <w:ilvl w:val="0"/>
          <w:numId w:val="1"/>
        </w:numPr>
        <w:spacing w:after="40"/>
      </w:pPr>
      <w:r>
        <w:rPr>
          <w:b w:val="false"/>
          <w:bCs w:val="false"/>
          <w:color w:val="2B2F33"/>
          <w:sz w:val="21"/>
          <w:szCs w:val="21"/>
        </w:rPr>
        <w:t xml:space="preserve">Accountant/Bookkeeper see this view-only (Preferred tab); only the Clinic Manager edits equity. The same equity figures are shown in the HR Hub Shareholders module (Section 4).</w:t>
      </w:r>
    </w:p>
    <w:p>
      <w:pPr>
        <w:pStyle w:val="Heading3"/>
        <w:spacing w:after="60" w:before="180"/>
      </w:pPr>
      <w:r>
        <w:rPr>
          <w:b/>
          <w:bCs/>
          <w:color w:val="B8863B"/>
          <w:sz w:val="24"/>
          <w:szCs w:val="24"/>
        </w:rPr>
        <w:t xml:space="preserve">3.18 Loans &amp; Advances</w:t>
      </w:r>
    </w:p>
    <w:p>
      <w:pPr>
        <w:spacing w:after="120"/>
        <w:jc w:val="both"/>
      </w:pPr>
      <w:r>
        <w:rPr>
          <w:b w:val="false"/>
          <w:bCs w:val="false"/>
          <w:color w:val="2B2F33"/>
          <w:sz w:val="21"/>
          <w:szCs w:val="21"/>
        </w:rPr>
        <w:t xml:space="preserve">Records cash loans, advances, and corporate bonds. Set the schedule (monthly / quarterly / bi-annual / annual), the principal-vs-interest split, and the paying bank; a tick-to-pay matrix marks each period paid. Loan charges post as expenses.</w:t>
      </w:r>
    </w:p>
    <w:p>
      <w:pPr>
        <w:pStyle w:val="Heading3"/>
        <w:spacing w:after="60" w:before="180"/>
      </w:pPr>
      <w:r>
        <w:rPr>
          <w:b/>
          <w:bCs/>
          <w:color w:val="B8863B"/>
          <w:sz w:val="24"/>
          <w:szCs w:val="24"/>
        </w:rPr>
        <w:t xml:space="preserve">3.19 Scholars</w:t>
      </w:r>
    </w:p>
    <w:p>
      <w:pPr>
        <w:spacing w:after="120"/>
        <w:jc w:val="both"/>
      </w:pPr>
      <w:r>
        <w:rPr>
          <w:b w:val="false"/>
          <w:bCs w:val="false"/>
          <w:color w:val="2B2F33"/>
          <w:sz w:val="21"/>
          <w:szCs w:val="21"/>
        </w:rPr>
        <w:t xml:space="preserve">A live feed of approved scholars coming from the Staff Portal (Section 4). Record award terms and monthly stipend releases (posted against the Scholarship Fund), and top-up appropriations that refill the fund. A near-due popup flags releases coming up in 3 days.</w:t>
      </w:r>
    </w:p>
    <w:p>
      <w:pPr>
        <w:pStyle w:val="Heading3"/>
        <w:spacing w:after="60" w:before="180"/>
      </w:pPr>
      <w:r>
        <w:rPr>
          <w:b/>
          <w:bCs/>
          <w:color w:val="B8863B"/>
          <w:sz w:val="24"/>
          <w:szCs w:val="24"/>
        </w:rPr>
        <w:t xml:space="preserve">3.20 Budgets</w:t>
      </w:r>
    </w:p>
    <w:p>
      <w:pPr>
        <w:spacing w:after="120"/>
        <w:jc w:val="both"/>
      </w:pPr>
      <w:r>
        <w:rPr>
          <w:b w:val="false"/>
          <w:bCs w:val="false"/>
          <w:color w:val="2B2F33"/>
          <w:sz w:val="21"/>
          <w:szCs w:val="21"/>
        </w:rPr>
        <w:t xml:space="preserve">Set expected figures per account/period and compare them against actuals so you can see where spending is over or under plan.</w:t>
      </w:r>
    </w:p>
    <w:p>
      <w:pPr>
        <w:pStyle w:val="Heading3"/>
        <w:spacing w:after="60" w:before="180"/>
      </w:pPr>
      <w:r>
        <w:rPr>
          <w:b/>
          <w:bCs/>
          <w:color w:val="B8863B"/>
          <w:sz w:val="24"/>
          <w:szCs w:val="24"/>
        </w:rPr>
        <w:t xml:space="preserve">3.21 Reports (Planning &amp; Analysis)</w:t>
      </w:r>
    </w:p>
    <w:p>
      <w:pPr>
        <w:spacing w:after="120"/>
        <w:jc w:val="both"/>
      </w:pPr>
      <w:r>
        <w:rPr>
          <w:b w:val="false"/>
          <w:bCs w:val="false"/>
          <w:color w:val="2B2F33"/>
          <w:sz w:val="21"/>
          <w:szCs w:val="21"/>
        </w:rPr>
        <w:t xml:space="preserve">The financial statements: Income Statement, Balance Sheet, and cash flow, with drill-downs into revenue and receivables. Revenue is built from POS orders plus the general-ledger journal, with payroll and POS entries excluded from the journal fold so nothing double-counts.</w:t>
      </w:r>
    </w:p>
    <w:p>
      <w:pPr>
        <w:pStyle w:val="Heading3"/>
        <w:spacing w:after="60" w:before="180"/>
      </w:pPr>
      <w:r>
        <w:rPr>
          <w:b/>
          <w:bCs/>
          <w:color w:val="B8863B"/>
          <w:sz w:val="24"/>
          <w:szCs w:val="24"/>
        </w:rPr>
        <w:t xml:space="preserve">3.22 Sales Summary</w:t>
      </w:r>
    </w:p>
    <w:p>
      <w:pPr>
        <w:spacing w:after="120"/>
        <w:jc w:val="both"/>
      </w:pPr>
      <w:r>
        <w:rPr>
          <w:b w:val="false"/>
          <w:bCs w:val="false"/>
          <w:color w:val="2B2F33"/>
          <w:sz w:val="21"/>
          <w:szCs w:val="21"/>
        </w:rPr>
        <w:t xml:space="preserve">Transaction-level sales with invoice tracking. Choose a branch and date range, then work in its three tabs:</w:t>
      </w:r>
    </w:p>
    <w:p>
      <w:pPr>
        <w:pStyle w:val="ListParagraph"/>
        <w:numPr>
          <w:ilvl w:val="0"/>
          <w:numId w:val="1"/>
        </w:numPr>
        <w:spacing w:after="40"/>
      </w:pPr>
      <w:r>
        <w:rPr>
          <w:b/>
          <w:bCs/>
          <w:color w:val="2B2F33"/>
          <w:sz w:val="21"/>
          <w:szCs w:val="21"/>
        </w:rPr>
        <w:t xml:space="preserve">Summary</w:t>
      </w:r>
      <w:r>
        <w:rPr>
          <w:b w:val="false"/>
          <w:bCs w:val="false"/>
          <w:color w:val="2B2F33"/>
          <w:sz w:val="21"/>
          <w:szCs w:val="21"/>
        </w:rPr>
        <w:t xml:space="preserve"> — every sales line for the period, split into Report 1 — With Official Sales Invoice and Report 2 — Without Sales Invoice, each with its own subtotal and a combined Gross/Net bar. Columns: Date, Order #, Patient, Service, Qty, SI No., Gross, Net. Click any column heading to sort ascending/descending, and type in the box under a heading to filter that column. Export CSV / Print reflect exactly what you have filtered.</w:t>
      </w:r>
    </w:p>
    <w:p>
      <w:pPr>
        <w:pStyle w:val="ListParagraph"/>
        <w:numPr>
          <w:ilvl w:val="0"/>
          <w:numId w:val="1"/>
        </w:numPr>
        <w:spacing w:after="40"/>
      </w:pPr>
      <w:r>
        <w:rPr>
          <w:b/>
          <w:bCs/>
          <w:color w:val="2B2F33"/>
          <w:sz w:val="21"/>
          <w:szCs w:val="21"/>
        </w:rPr>
        <w:t xml:space="preserve">With SI</w:t>
      </w:r>
      <w:r>
        <w:rPr>
          <w:b w:val="false"/>
          <w:bCs w:val="false"/>
          <w:color w:val="2B2F33"/>
          <w:sz w:val="21"/>
          <w:szCs w:val="21"/>
        </w:rPr>
        <w:t xml:space="preserve"> — reconciles your official Sales Invoice booklet. The left Sales Invoices list shows every used SI number (also sortable and filterable by SI No., Date, Patient, or Amount); the right Flagged Sales Invoices panel lists missing (gap) and duplicate numbers so you can declare them Cancelled, add Remarks, or Tag them to the correct order.</w:t>
      </w:r>
    </w:p>
    <w:p>
      <w:pPr>
        <w:pStyle w:val="ListParagraph"/>
        <w:numPr>
          <w:ilvl w:val="0"/>
          <w:numId w:val="1"/>
        </w:numPr>
        <w:spacing w:after="40"/>
      </w:pPr>
      <w:r>
        <w:rPr>
          <w:b/>
          <w:bCs/>
          <w:color w:val="2B2F33"/>
          <w:sz w:val="21"/>
          <w:szCs w:val="21"/>
        </w:rPr>
        <w:t xml:space="preserve">Sales Target</w:t>
      </w:r>
      <w:r>
        <w:rPr>
          <w:b w:val="false"/>
          <w:bCs w:val="false"/>
          <w:color w:val="2B2F33"/>
          <w:sz w:val="21"/>
          <w:szCs w:val="21"/>
        </w:rPr>
        <w:t xml:space="preserve"> — pick a month/year and branch to compare Sales with SI against the Target you set, showing the difference (below target / target met). Only Admin/Accountant/Bookkeeper can edit the target.</w:t>
      </w:r>
    </w:p>
    <w:p>
      <w:pPr>
        <w:pStyle w:val="Heading3"/>
        <w:spacing w:after="60" w:before="180"/>
      </w:pPr>
      <w:r>
        <w:rPr>
          <w:b/>
          <w:bCs/>
          <w:color w:val="B8863B"/>
          <w:sz w:val="24"/>
          <w:szCs w:val="24"/>
        </w:rPr>
        <w:t xml:space="preserve">3.23 Products Analysis &amp; Sales Analysis</w:t>
      </w:r>
    </w:p>
    <w:p>
      <w:pPr>
        <w:spacing w:after="120"/>
        <w:jc w:val="both"/>
      </w:pPr>
      <w:r>
        <w:rPr>
          <w:b w:val="false"/>
          <w:bCs w:val="false"/>
          <w:color w:val="2B2F33"/>
          <w:sz w:val="21"/>
          <w:szCs w:val="21"/>
        </w:rPr>
        <w:t xml:space="preserve">Trend views for the Clinic Manager, branch admins, and Viewer (not Accountant/Bookkeeper). Products Analysis looks at what sells; Sales Analysis looks at sales trends over time.</w:t>
      </w:r>
    </w:p>
    <w:p>
      <w:pPr>
        <w:pStyle w:val="Heading3"/>
        <w:spacing w:after="60" w:before="180"/>
      </w:pPr>
      <w:r>
        <w:rPr>
          <w:b/>
          <w:bCs/>
          <w:color w:val="B8863B"/>
          <w:sz w:val="24"/>
          <w:szCs w:val="24"/>
        </w:rPr>
        <w:t xml:space="preserve">3.24 Users &amp; Handbook (Administration)</w:t>
      </w:r>
    </w:p>
    <w:p>
      <w:pPr>
        <w:pStyle w:val="ListParagraph"/>
        <w:numPr>
          <w:ilvl w:val="0"/>
          <w:numId w:val="1"/>
        </w:numPr>
        <w:spacing w:after="40"/>
      </w:pPr>
      <w:r>
        <w:rPr>
          <w:b/>
          <w:bCs/>
          <w:color w:val="2B2F33"/>
          <w:sz w:val="21"/>
          <w:szCs w:val="21"/>
        </w:rPr>
        <w:t xml:space="preserve">Users</w:t>
      </w:r>
      <w:r>
        <w:rPr>
          <w:b w:val="false"/>
          <w:bCs w:val="false"/>
          <w:color w:val="2B2F33"/>
          <w:sz w:val="21"/>
          <w:szCs w:val="21"/>
        </w:rPr>
        <w:t xml:space="preserve"> (Admin only) — create staff accounts and assign roles; roles control exactly what each person sees.</w:t>
      </w:r>
    </w:p>
    <w:p>
      <w:pPr>
        <w:pStyle w:val="ListParagraph"/>
        <w:numPr>
          <w:ilvl w:val="0"/>
          <w:numId w:val="1"/>
        </w:numPr>
        <w:spacing w:after="40"/>
      </w:pPr>
      <w:r>
        <w:rPr>
          <w:b/>
          <w:bCs/>
          <w:color w:val="2B2F33"/>
          <w:sz w:val="21"/>
          <w:szCs w:val="21"/>
        </w:rPr>
        <w:t xml:space="preserve">Handbook</w:t>
      </w:r>
      <w:r>
        <w:rPr>
          <w:b w:val="false"/>
          <w:bCs w:val="false"/>
          <w:color w:val="2B2F33"/>
          <w:sz w:val="21"/>
          <w:szCs w:val="21"/>
        </w:rPr>
        <w:t xml:space="preserve"> (Admin only) — this document, readable in-app and downloadable as Word/PDF.</w:t>
      </w:r>
    </w:p>
    <w:p>
      <w:pPr>
        <w:pStyle w:val="Heading2"/>
        <w:spacing w:after="100" w:before="240"/>
      </w:pPr>
      <w:r>
        <w:rPr>
          <w:b/>
          <w:bCs/>
          <w:color w:val="0F5C4C"/>
          <w:sz w:val="30"/>
          <w:szCs w:val="30"/>
        </w:rPr>
        <w:t xml:space="preserve">4. How the Accounting Hub Connects to the Other Systems</w:t>
      </w:r>
    </w:p>
    <w:p>
      <w:pPr>
        <w:spacing w:after="120"/>
        <w:jc w:val="both"/>
      </w:pPr>
      <w:r>
        <w:rPr>
          <w:b w:val="false"/>
          <w:bCs w:val="false"/>
          <w:color w:val="2B2F33"/>
          <w:sz w:val="21"/>
          <w:szCs w:val="21"/>
        </w:rPr>
        <w:t xml:space="preserve">The clinics run on four connected systems. The Accounting Hub does not re-type data that already lives elsewhere — instead, specific pieces of information are shared automatically between them over a secure key. Here is what each system is and what flows in or out of Accounting.</w:t>
      </w:r>
    </w:p>
    <w:p>
      <w:pPr>
        <w:pStyle w:val="ListParagraph"/>
        <w:numPr>
          <w:ilvl w:val="0"/>
          <w:numId w:val="1"/>
        </w:numPr>
        <w:spacing w:after="40"/>
      </w:pPr>
      <w:r>
        <w:rPr>
          <w:b/>
          <w:bCs/>
          <w:color w:val="2B2F33"/>
          <w:sz w:val="21"/>
          <w:szCs w:val="21"/>
        </w:rPr>
        <w:t xml:space="preserve">Operations Hub</w:t>
      </w:r>
      <w:r>
        <w:rPr>
          <w:b w:val="false"/>
          <w:bCs w:val="false"/>
          <w:color w:val="2B2F33"/>
          <w:sz w:val="21"/>
          <w:szCs w:val="21"/>
        </w:rPr>
        <w:t xml:space="preserve"> (operations.sapphireclinicseast.org) — bookings, schedules, and the patient CRM for the Aura Health branches.</w:t>
      </w:r>
    </w:p>
    <w:p>
      <w:pPr>
        <w:pStyle w:val="ListParagraph"/>
        <w:numPr>
          <w:ilvl w:val="0"/>
          <w:numId w:val="1"/>
        </w:numPr>
        <w:spacing w:after="40"/>
      </w:pPr>
      <w:r>
        <w:rPr>
          <w:b/>
          <w:bCs/>
          <w:color w:val="2B2F33"/>
          <w:sz w:val="21"/>
          <w:szCs w:val="21"/>
        </w:rPr>
        <w:t xml:space="preserve">HR Hub</w:t>
      </w:r>
      <w:r>
        <w:rPr>
          <w:b w:val="false"/>
          <w:bCs w:val="false"/>
          <w:color w:val="2B2F33"/>
          <w:sz w:val="21"/>
          <w:szCs w:val="21"/>
        </w:rPr>
        <w:t xml:space="preserve"> — staff records, HR forms/templates, and a shareholders view.</w:t>
      </w:r>
    </w:p>
    <w:p>
      <w:pPr>
        <w:pStyle w:val="ListParagraph"/>
        <w:numPr>
          <w:ilvl w:val="0"/>
          <w:numId w:val="1"/>
        </w:numPr>
        <w:spacing w:after="40"/>
      </w:pPr>
      <w:r>
        <w:rPr>
          <w:b/>
          <w:bCs/>
          <w:color w:val="2B2F33"/>
          <w:sz w:val="21"/>
          <w:szCs w:val="21"/>
        </w:rPr>
        <w:t xml:space="preserve">Staff Portal</w:t>
      </w:r>
      <w:r>
        <w:rPr>
          <w:b w:val="false"/>
          <w:bCs w:val="false"/>
          <w:color w:val="2B2F33"/>
          <w:sz w:val="21"/>
          <w:szCs w:val="21"/>
        </w:rPr>
        <w:t xml:space="preserve"> (staff.sapphireclinicseast.org) — the staff-facing portal, including the scholarship/scholars programme.</w:t>
      </w:r>
    </w:p>
    <w:p>
      <w:pPr>
        <w:pStyle w:val="ListParagraph"/>
        <w:numPr>
          <w:ilvl w:val="0"/>
          <w:numId w:val="1"/>
        </w:numPr>
        <w:spacing w:after="40"/>
      </w:pPr>
      <w:r>
        <w:rPr>
          <w:b/>
          <w:bCs/>
          <w:color w:val="2B2F33"/>
          <w:sz w:val="21"/>
          <w:szCs w:val="21"/>
        </w:rPr>
        <w:t xml:space="preserve">Accounting Hub</w:t>
      </w:r>
      <w:r>
        <w:rPr>
          <w:b w:val="false"/>
          <w:bCs w:val="false"/>
          <w:color w:val="2B2F33"/>
          <w:sz w:val="21"/>
          <w:szCs w:val="21"/>
        </w:rPr>
        <w:t xml:space="preserve"> — this system (money, sales, payroll, reports).</w:t>
      </w:r>
    </w:p>
    <w:p>
      <w:pPr>
        <w:pStyle w:val="Heading3"/>
        <w:spacing w:after="60" w:before="180"/>
      </w:pPr>
      <w:r>
        <w:rPr>
          <w:b/>
          <w:bCs/>
          <w:color w:val="B8863B"/>
          <w:sz w:val="24"/>
          <w:szCs w:val="24"/>
        </w:rPr>
        <w:t xml:space="preserve">4.1 What flows in and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3400"/>
      </w:tblGrid>
      <w:tr>
        <w:trPr>
          <w:tblHeader/>
        </w:trPr>
        <w:tc>
          <w:tcPr>
            <w:tcW w:type="dxa" w:w="2900"/>
            <w:shd w:fill="0F5C4C" w:val="clear"/>
            <w:tcMar>
              <w:top w:type="dxa" w:w="40"/>
              <w:left w:type="dxa" w:w="90"/>
              <w:bottom w:type="dxa" w:w="40"/>
              <w:right w:type="dxa" w:w="90"/>
            </w:tcMar>
          </w:tcPr>
          <w:p>
            <w:pPr>
              <w:jc w:val="left"/>
            </w:pPr>
            <w:r>
              <w:rPr>
                <w:b/>
                <w:bCs/>
                <w:color w:val="FFFFFF"/>
                <w:sz w:val="18"/>
                <w:szCs w:val="18"/>
              </w:rPr>
              <w:t xml:space="preserve">Information</w:t>
            </w:r>
          </w:p>
        </w:tc>
        <w:tc>
          <w:tcPr>
            <w:tcW w:type="dxa" w:w="3060"/>
            <w:shd w:fill="0F5C4C" w:val="clear"/>
            <w:tcMar>
              <w:top w:type="dxa" w:w="40"/>
              <w:left w:type="dxa" w:w="90"/>
              <w:bottom w:type="dxa" w:w="40"/>
              <w:right w:type="dxa" w:w="90"/>
            </w:tcMar>
          </w:tcPr>
          <w:p>
            <w:pPr>
              <w:jc w:val="center"/>
            </w:pPr>
            <w:r>
              <w:rPr>
                <w:b/>
                <w:bCs/>
                <w:color w:val="FFFFFF"/>
                <w:sz w:val="18"/>
                <w:szCs w:val="18"/>
              </w:rPr>
              <w:t xml:space="preserve">Direction</w:t>
            </w:r>
          </w:p>
        </w:tc>
        <w:tc>
          <w:tcPr>
            <w:tcW w:type="dxa" w:w="3400"/>
            <w:shd w:fill="0F5C4C" w:val="clear"/>
            <w:tcMar>
              <w:top w:type="dxa" w:w="40"/>
              <w:left w:type="dxa" w:w="90"/>
              <w:bottom w:type="dxa" w:w="40"/>
              <w:right w:type="dxa" w:w="90"/>
            </w:tcMar>
          </w:tcPr>
          <w:p>
            <w:pPr>
              <w:jc w:val="center"/>
            </w:pPr>
            <w:r>
              <w:rPr>
                <w:b/>
                <w:bCs/>
                <w:color w:val="FFFFFF"/>
                <w:sz w:val="18"/>
                <w:szCs w:val="18"/>
              </w:rPr>
              <w:t xml:space="preserve">Used in Accounting for</w:t>
            </w:r>
          </w:p>
        </w:tc>
      </w:tr>
      <w:tr>
        <w:tc>
          <w:tcPr>
            <w:tcW w:type="dxa" w:w="2900"/>
            <w:shd w:fill="FFFFFF" w:val="clear"/>
            <w:tcMar>
              <w:top w:type="dxa" w:w="40"/>
              <w:left w:type="dxa" w:w="90"/>
              <w:bottom w:type="dxa" w:w="40"/>
              <w:right w:type="dxa" w:w="90"/>
            </w:tcMar>
          </w:tcPr>
          <w:p>
            <w:pPr>
              <w:jc w:val="left"/>
            </w:pPr>
            <w:r>
              <w:rPr>
                <w:b/>
                <w:bCs/>
                <w:color w:val="2B2F33"/>
                <w:sz w:val="18"/>
                <w:szCs w:val="18"/>
              </w:rPr>
              <w:t xml:space="preserve">Patients (CRM)</w:t>
            </w:r>
          </w:p>
        </w:tc>
        <w:tc>
          <w:tcPr>
            <w:tcW w:type="dxa" w:w="3060"/>
            <w:shd w:fill="FFFFFF" w:val="clear"/>
            <w:tcMar>
              <w:top w:type="dxa" w:w="40"/>
              <w:left w:type="dxa" w:w="90"/>
              <w:bottom w:type="dxa" w:w="40"/>
              <w:right w:type="dxa" w:w="90"/>
            </w:tcMar>
          </w:tcPr>
          <w:p>
            <w:pPr>
              <w:jc w:val="left"/>
            </w:pPr>
            <w:r>
              <w:rPr>
                <w:b w:val="false"/>
                <w:bCs w:val="false"/>
                <w:color w:val="2B2F33"/>
                <w:sz w:val="18"/>
                <w:szCs w:val="18"/>
              </w:rPr>
              <w:t xml:space="preserve">Operations Hub → Accounting</w:t>
            </w:r>
          </w:p>
        </w:tc>
        <w:tc>
          <w:tcPr>
            <w:tcW w:type="dxa" w:w="3400"/>
            <w:shd w:fill="FFFFFF" w:val="clear"/>
            <w:tcMar>
              <w:top w:type="dxa" w:w="40"/>
              <w:left w:type="dxa" w:w="90"/>
              <w:bottom w:type="dxa" w:w="40"/>
              <w:right w:type="dxa" w:w="90"/>
            </w:tcMar>
          </w:tcPr>
          <w:p>
            <w:pPr>
              <w:jc w:val="left"/>
            </w:pPr>
            <w:r>
              <w:rPr>
                <w:b w:val="false"/>
                <w:bCs w:val="false"/>
                <w:color w:val="2B2F33"/>
                <w:sz w:val="18"/>
                <w:szCs w:val="18"/>
              </w:rPr>
              <w:t xml:space="preserve">Referral → Referred Patients search; per-patient session drill-down; POS patient lookup</w:t>
            </w:r>
          </w:p>
        </w:tc>
      </w:tr>
      <w:tr>
        <w:tc>
          <w:tcPr>
            <w:tcW w:type="dxa" w:w="2900"/>
            <w:shd w:fill="F5F8F8" w:val="clear"/>
            <w:tcMar>
              <w:top w:type="dxa" w:w="40"/>
              <w:left w:type="dxa" w:w="90"/>
              <w:bottom w:type="dxa" w:w="40"/>
              <w:right w:type="dxa" w:w="90"/>
            </w:tcMar>
          </w:tcPr>
          <w:p>
            <w:pPr>
              <w:jc w:val="left"/>
            </w:pPr>
            <w:r>
              <w:rPr>
                <w:b/>
                <w:bCs/>
                <w:color w:val="2B2F33"/>
                <w:sz w:val="18"/>
                <w:szCs w:val="18"/>
              </w:rPr>
              <w:t xml:space="preserve">Staff &amp; consultants — Aura Health East / Greenhills</w:t>
            </w:r>
          </w:p>
        </w:tc>
        <w:tc>
          <w:tcPr>
            <w:tcW w:type="dxa" w:w="3060"/>
            <w:shd w:fill="F5F8F8" w:val="clear"/>
            <w:tcMar>
              <w:top w:type="dxa" w:w="40"/>
              <w:left w:type="dxa" w:w="90"/>
              <w:bottom w:type="dxa" w:w="40"/>
              <w:right w:type="dxa" w:w="90"/>
            </w:tcMar>
          </w:tcPr>
          <w:p>
            <w:pPr>
              <w:jc w:val="left"/>
            </w:pPr>
            <w:r>
              <w:rPr>
                <w:b w:val="false"/>
                <w:bCs w:val="false"/>
                <w:color w:val="2B2F33"/>
                <w:sz w:val="18"/>
                <w:szCs w:val="18"/>
              </w:rPr>
              <w:t xml:space="preserve">Operations Hub → Accounting</w:t>
            </w:r>
          </w:p>
        </w:tc>
        <w:tc>
          <w:tcPr>
            <w:tcW w:type="dxa" w:w="3400"/>
            <w:shd w:fill="F5F8F8" w:val="clear"/>
            <w:tcMar>
              <w:top w:type="dxa" w:w="40"/>
              <w:left w:type="dxa" w:w="90"/>
              <w:bottom w:type="dxa" w:w="40"/>
              <w:right w:type="dxa" w:w="90"/>
            </w:tcMar>
          </w:tcPr>
          <w:p>
            <w:pPr>
              <w:jc w:val="left"/>
            </w:pPr>
            <w:r>
              <w:rPr>
                <w:b w:val="false"/>
                <w:bCs w:val="false"/>
                <w:color w:val="2B2F33"/>
                <w:sz w:val="18"/>
                <w:szCs w:val="18"/>
              </w:rPr>
              <w:t xml:space="preserve">Payroll register &amp; payslips for the two Aura Health branches</w:t>
            </w:r>
          </w:p>
        </w:tc>
      </w:tr>
      <w:tr>
        <w:tc>
          <w:tcPr>
            <w:tcW w:type="dxa" w:w="2900"/>
            <w:shd w:fill="FFFFFF" w:val="clear"/>
            <w:tcMar>
              <w:top w:type="dxa" w:w="40"/>
              <w:left w:type="dxa" w:w="90"/>
              <w:bottom w:type="dxa" w:w="40"/>
              <w:right w:type="dxa" w:w="90"/>
            </w:tcMar>
          </w:tcPr>
          <w:p>
            <w:pPr>
              <w:jc w:val="left"/>
            </w:pPr>
            <w:r>
              <w:rPr>
                <w:b/>
                <w:bCs/>
                <w:color w:val="2B2F33"/>
                <w:sz w:val="18"/>
                <w:szCs w:val="18"/>
              </w:rPr>
              <w:t xml:space="preserve">Staff — Verdana</w:t>
            </w:r>
          </w:p>
        </w:tc>
        <w:tc>
          <w:tcPr>
            <w:tcW w:type="dxa" w:w="3060"/>
            <w:shd w:fill="FFFFFF" w:val="clear"/>
            <w:tcMar>
              <w:top w:type="dxa" w:w="40"/>
              <w:left w:type="dxa" w:w="90"/>
              <w:bottom w:type="dxa" w:w="40"/>
              <w:right w:type="dxa" w:w="90"/>
            </w:tcMar>
          </w:tcPr>
          <w:p>
            <w:pPr>
              <w:jc w:val="left"/>
            </w:pPr>
            <w:r>
              <w:rPr>
                <w:b w:val="false"/>
                <w:bCs w:val="false"/>
                <w:color w:val="2B2F33"/>
                <w:sz w:val="18"/>
                <w:szCs w:val="18"/>
              </w:rPr>
              <w:t xml:space="preserve">HR Hub → Accounting</w:t>
            </w:r>
          </w:p>
        </w:tc>
        <w:tc>
          <w:tcPr>
            <w:tcW w:type="dxa" w:w="3400"/>
            <w:shd w:fill="FFFFFF" w:val="clear"/>
            <w:tcMar>
              <w:top w:type="dxa" w:w="40"/>
              <w:left w:type="dxa" w:w="90"/>
              <w:bottom w:type="dxa" w:w="40"/>
              <w:right w:type="dxa" w:w="90"/>
            </w:tcMar>
          </w:tcPr>
          <w:p>
            <w:pPr>
              <w:jc w:val="left"/>
            </w:pPr>
            <w:r>
              <w:rPr>
                <w:b w:val="false"/>
                <w:bCs w:val="false"/>
                <w:color w:val="2B2F33"/>
                <w:sz w:val="18"/>
                <w:szCs w:val="18"/>
              </w:rPr>
              <w:t xml:space="preserve">Payroll register &amp; payslips for Verdana</w:t>
            </w:r>
          </w:p>
        </w:tc>
      </w:tr>
      <w:tr>
        <w:tc>
          <w:tcPr>
            <w:tcW w:type="dxa" w:w="2900"/>
            <w:shd w:fill="F5F8F8" w:val="clear"/>
            <w:tcMar>
              <w:top w:type="dxa" w:w="40"/>
              <w:left w:type="dxa" w:w="90"/>
              <w:bottom w:type="dxa" w:w="40"/>
              <w:right w:type="dxa" w:w="90"/>
            </w:tcMar>
          </w:tcPr>
          <w:p>
            <w:pPr>
              <w:jc w:val="left"/>
            </w:pPr>
            <w:r>
              <w:rPr>
                <w:b/>
                <w:bCs/>
                <w:color w:val="2B2F33"/>
                <w:sz w:val="18"/>
                <w:szCs w:val="18"/>
              </w:rPr>
              <w:t xml:space="preserve">HR form templates</w:t>
            </w:r>
          </w:p>
        </w:tc>
        <w:tc>
          <w:tcPr>
            <w:tcW w:type="dxa" w:w="3060"/>
            <w:shd w:fill="F5F8F8" w:val="clear"/>
            <w:tcMar>
              <w:top w:type="dxa" w:w="40"/>
              <w:left w:type="dxa" w:w="90"/>
              <w:bottom w:type="dxa" w:w="40"/>
              <w:right w:type="dxa" w:w="90"/>
            </w:tcMar>
          </w:tcPr>
          <w:p>
            <w:pPr>
              <w:jc w:val="left"/>
            </w:pPr>
            <w:r>
              <w:rPr>
                <w:b w:val="false"/>
                <w:bCs w:val="false"/>
                <w:color w:val="2B2F33"/>
                <w:sz w:val="18"/>
                <w:szCs w:val="18"/>
              </w:rPr>
              <w:t xml:space="preserve">HR Hub → Accounting</w:t>
            </w:r>
          </w:p>
        </w:tc>
        <w:tc>
          <w:tcPr>
            <w:tcW w:type="dxa" w:w="3400"/>
            <w:shd w:fill="F5F8F8" w:val="clear"/>
            <w:tcMar>
              <w:top w:type="dxa" w:w="40"/>
              <w:left w:type="dxa" w:w="90"/>
              <w:bottom w:type="dxa" w:w="40"/>
              <w:right w:type="dxa" w:w="90"/>
            </w:tcMar>
          </w:tcPr>
          <w:p>
            <w:pPr>
              <w:jc w:val="left"/>
            </w:pPr>
            <w:r>
              <w:rPr>
                <w:b w:val="false"/>
                <w:bCs w:val="false"/>
                <w:color w:val="2B2F33"/>
                <w:sz w:val="18"/>
                <w:szCs w:val="18"/>
              </w:rPr>
              <w:t xml:space="preserve">The Forms dropdown inside Inventory &amp; Procurement</w:t>
            </w:r>
          </w:p>
        </w:tc>
      </w:tr>
      <w:tr>
        <w:tc>
          <w:tcPr>
            <w:tcW w:type="dxa" w:w="2900"/>
            <w:shd w:fill="FFFFFF" w:val="clear"/>
            <w:tcMar>
              <w:top w:type="dxa" w:w="40"/>
              <w:left w:type="dxa" w:w="90"/>
              <w:bottom w:type="dxa" w:w="40"/>
              <w:right w:type="dxa" w:w="90"/>
            </w:tcMar>
          </w:tcPr>
          <w:p>
            <w:pPr>
              <w:jc w:val="left"/>
            </w:pPr>
            <w:r>
              <w:rPr>
                <w:b/>
                <w:bCs/>
                <w:color w:val="2B2F33"/>
                <w:sz w:val="18"/>
                <w:szCs w:val="18"/>
              </w:rPr>
              <w:t xml:space="preserve">Approved scholars</w:t>
            </w:r>
          </w:p>
        </w:tc>
        <w:tc>
          <w:tcPr>
            <w:tcW w:type="dxa" w:w="3060"/>
            <w:shd w:fill="FFFFFF" w:val="clear"/>
            <w:tcMar>
              <w:top w:type="dxa" w:w="40"/>
              <w:left w:type="dxa" w:w="90"/>
              <w:bottom w:type="dxa" w:w="40"/>
              <w:right w:type="dxa" w:w="90"/>
            </w:tcMar>
          </w:tcPr>
          <w:p>
            <w:pPr>
              <w:jc w:val="left"/>
            </w:pPr>
            <w:r>
              <w:rPr>
                <w:b w:val="false"/>
                <w:bCs w:val="false"/>
                <w:color w:val="2B2F33"/>
                <w:sz w:val="18"/>
                <w:szCs w:val="18"/>
              </w:rPr>
              <w:t xml:space="preserve">Staff Portal → Accounting</w:t>
            </w:r>
          </w:p>
        </w:tc>
        <w:tc>
          <w:tcPr>
            <w:tcW w:type="dxa" w:w="3400"/>
            <w:shd w:fill="FFFFFF" w:val="clear"/>
            <w:tcMar>
              <w:top w:type="dxa" w:w="40"/>
              <w:left w:type="dxa" w:w="90"/>
              <w:bottom w:type="dxa" w:w="40"/>
              <w:right w:type="dxa" w:w="90"/>
            </w:tcMar>
          </w:tcPr>
          <w:p>
            <w:pPr>
              <w:jc w:val="left"/>
            </w:pPr>
            <w:r>
              <w:rPr>
                <w:b w:val="false"/>
                <w:bCs w:val="false"/>
                <w:color w:val="2B2F33"/>
                <w:sz w:val="18"/>
                <w:szCs w:val="18"/>
              </w:rPr>
              <w:t xml:space="preserve">The live feed on the Scholars screen; stipend releases</w:t>
            </w:r>
          </w:p>
        </w:tc>
      </w:tr>
      <w:tr>
        <w:tc>
          <w:tcPr>
            <w:tcW w:type="dxa" w:w="2900"/>
            <w:shd w:fill="F5F8F8" w:val="clear"/>
            <w:tcMar>
              <w:top w:type="dxa" w:w="40"/>
              <w:left w:type="dxa" w:w="90"/>
              <w:bottom w:type="dxa" w:w="40"/>
              <w:right w:type="dxa" w:w="90"/>
            </w:tcMar>
          </w:tcPr>
          <w:p>
            <w:pPr>
              <w:jc w:val="left"/>
            </w:pPr>
            <w:r>
              <w:rPr>
                <w:b/>
                <w:bCs/>
                <w:color w:val="2B2F33"/>
                <w:sz w:val="18"/>
                <w:szCs w:val="18"/>
              </w:rPr>
              <w:t xml:space="preserve">Equity / shareholder figures</w:t>
            </w:r>
          </w:p>
        </w:tc>
        <w:tc>
          <w:tcPr>
            <w:tcW w:type="dxa" w:w="3060"/>
            <w:shd w:fill="F5F8F8" w:val="clear"/>
            <w:tcMar>
              <w:top w:type="dxa" w:w="40"/>
              <w:left w:type="dxa" w:w="90"/>
              <w:bottom w:type="dxa" w:w="40"/>
              <w:right w:type="dxa" w:w="90"/>
            </w:tcMar>
          </w:tcPr>
          <w:p>
            <w:pPr>
              <w:jc w:val="left"/>
            </w:pPr>
            <w:r>
              <w:rPr>
                <w:b w:val="false"/>
                <w:bCs w:val="false"/>
                <w:color w:val="2B2F33"/>
                <w:sz w:val="18"/>
                <w:szCs w:val="18"/>
              </w:rPr>
              <w:t xml:space="preserve">Accounting → HR Hub</w:t>
            </w:r>
          </w:p>
        </w:tc>
        <w:tc>
          <w:tcPr>
            <w:tcW w:type="dxa" w:w="3400"/>
            <w:shd w:fill="F5F8F8" w:val="clear"/>
            <w:tcMar>
              <w:top w:type="dxa" w:w="40"/>
              <w:left w:type="dxa" w:w="90"/>
              <w:bottom w:type="dxa" w:w="40"/>
              <w:right w:type="dxa" w:w="90"/>
            </w:tcMar>
          </w:tcPr>
          <w:p>
            <w:pPr>
              <w:jc w:val="left"/>
            </w:pPr>
            <w:r>
              <w:rPr>
                <w:b w:val="false"/>
                <w:bCs w:val="false"/>
                <w:color w:val="2B2F33"/>
                <w:sz w:val="18"/>
                <w:szCs w:val="18"/>
              </w:rPr>
              <w:t xml:space="preserve">The Shareholders module in the HR Hub reads Common/Preferred equity from here</w:t>
            </w:r>
          </w:p>
        </w:tc>
      </w:tr>
      <w:tr>
        <w:tc>
          <w:tcPr>
            <w:tcW w:type="dxa" w:w="2900"/>
            <w:shd w:fill="FFFFFF" w:val="clear"/>
            <w:tcMar>
              <w:top w:type="dxa" w:w="40"/>
              <w:left w:type="dxa" w:w="90"/>
              <w:bottom w:type="dxa" w:w="40"/>
              <w:right w:type="dxa" w:w="90"/>
            </w:tcMar>
          </w:tcPr>
          <w:p>
            <w:pPr>
              <w:jc w:val="left"/>
            </w:pPr>
            <w:r>
              <w:rPr>
                <w:b/>
                <w:bCs/>
                <w:color w:val="2B2F33"/>
                <w:sz w:val="18"/>
                <w:szCs w:val="18"/>
              </w:rPr>
              <w:t xml:space="preserve">Sales &amp; session data</w:t>
            </w:r>
          </w:p>
        </w:tc>
        <w:tc>
          <w:tcPr>
            <w:tcW w:type="dxa" w:w="3060"/>
            <w:shd w:fill="FFFFFF" w:val="clear"/>
            <w:tcMar>
              <w:top w:type="dxa" w:w="40"/>
              <w:left w:type="dxa" w:w="90"/>
              <w:bottom w:type="dxa" w:w="40"/>
              <w:right w:type="dxa" w:w="90"/>
            </w:tcMar>
          </w:tcPr>
          <w:p>
            <w:pPr>
              <w:jc w:val="left"/>
            </w:pPr>
            <w:r>
              <w:rPr>
                <w:b w:val="false"/>
                <w:bCs w:val="false"/>
                <w:color w:val="2B2F33"/>
                <w:sz w:val="18"/>
                <w:szCs w:val="18"/>
              </w:rPr>
              <w:t xml:space="preserve">Within Accounting</w:t>
            </w:r>
          </w:p>
        </w:tc>
        <w:tc>
          <w:tcPr>
            <w:tcW w:type="dxa" w:w="3400"/>
            <w:shd w:fill="FFFFFF" w:val="clear"/>
            <w:tcMar>
              <w:top w:type="dxa" w:w="40"/>
              <w:left w:type="dxa" w:w="90"/>
              <w:bottom w:type="dxa" w:w="40"/>
              <w:right w:type="dxa" w:w="90"/>
            </w:tcMar>
          </w:tcPr>
          <w:p>
            <w:pPr>
              <w:jc w:val="left"/>
            </w:pPr>
            <w:r>
              <w:rPr>
                <w:b w:val="false"/>
                <w:bCs w:val="false"/>
                <w:color w:val="2B2F33"/>
                <w:sz w:val="18"/>
                <w:szCs w:val="18"/>
              </w:rPr>
              <w:t xml:space="preserve">Feeds Reports, Sales Summary, Accounts Receivable, and the Referral dashboard</w:t>
            </w:r>
          </w:p>
        </w:tc>
      </w:tr>
    </w:tbl>
    <w:p>
      <w:pPr>
        <w:spacing w:after="60"/>
      </w:pPr>
    </w:p>
    <w:p>
      <w:pPr>
        <w:pBdr>
          <w:left w:val="single" w:color="0F5C4C" w:sz="18" w:space="8"/>
        </w:pBdr>
        <w:shd w:fill="E5F0EC" w:val="clear"/>
        <w:spacing w:after="140" w:before="60"/>
      </w:pPr>
      <w:r>
        <w:rPr>
          <w:b/>
          <w:bCs/>
          <w:color w:val="0F5C4C"/>
          <w:sz w:val="21"/>
          <w:szCs w:val="21"/>
        </w:rPr>
        <w:t xml:space="preserve">In plain terms: </w:t>
      </w:r>
      <w:r>
        <w:rPr>
          <w:color w:val="2B2F33"/>
          <w:sz w:val="21"/>
          <w:szCs w:val="21"/>
        </w:rPr>
        <w:t xml:space="preserve">Accounting mostly receives people and patients (so you never re-type staff or patient lists) and supplies the equity figures the HR Hub displays. Sales, receivables, and reports are all built from the orders created here.</w:t>
      </w:r>
    </w:p>
    <w:p>
      <w:pPr>
        <w:pStyle w:val="Heading3"/>
        <w:spacing w:after="60" w:before="180"/>
      </w:pPr>
      <w:r>
        <w:rPr>
          <w:b/>
          <w:bCs/>
          <w:color w:val="B8863B"/>
          <w:sz w:val="24"/>
          <w:szCs w:val="24"/>
        </w:rPr>
        <w:t xml:space="preserve">4.2 Why it matters</w:t>
      </w:r>
    </w:p>
    <w:p>
      <w:pPr>
        <w:pStyle w:val="ListParagraph"/>
        <w:numPr>
          <w:ilvl w:val="0"/>
          <w:numId w:val="1"/>
        </w:numPr>
        <w:spacing w:after="40"/>
      </w:pPr>
      <w:r>
        <w:rPr>
          <w:b w:val="false"/>
          <w:bCs w:val="false"/>
          <w:color w:val="2B2F33"/>
          <w:sz w:val="21"/>
          <w:szCs w:val="21"/>
        </w:rPr>
        <w:t xml:space="preserve">If a patient is missing in Referral or POS search, they are usually added first in the </w:t>
      </w:r>
      <w:r>
        <w:rPr>
          <w:b/>
          <w:bCs/>
          <w:color w:val="2B2F33"/>
          <w:sz w:val="21"/>
          <w:szCs w:val="21"/>
        </w:rPr>
        <w:t xml:space="preserve">Operations Hub</w:t>
      </w:r>
      <w:r>
        <w:rPr>
          <w:b w:val="false"/>
          <w:bCs w:val="false"/>
          <w:color w:val="2B2F33"/>
          <w:sz w:val="21"/>
          <w:szCs w:val="21"/>
        </w:rPr>
        <w:t xml:space="preserve"> CRM — the Accounting Hub reads that list.</w:t>
      </w:r>
    </w:p>
    <w:p>
      <w:pPr>
        <w:pStyle w:val="ListParagraph"/>
        <w:numPr>
          <w:ilvl w:val="0"/>
          <w:numId w:val="1"/>
        </w:numPr>
        <w:spacing w:after="40"/>
      </w:pPr>
      <w:r>
        <w:rPr>
          <w:b w:val="false"/>
          <w:bCs w:val="false"/>
          <w:color w:val="2B2F33"/>
          <w:sz w:val="21"/>
          <w:szCs w:val="21"/>
        </w:rPr>
        <w:t xml:space="preserve">If a staff member is missing from Payroll, fix it at the source — Operations Hub for Aura Health, HR Hub for Verdana — and it syncs across.</w:t>
      </w:r>
    </w:p>
    <w:p>
      <w:pPr>
        <w:pStyle w:val="ListParagraph"/>
        <w:numPr>
          <w:ilvl w:val="0"/>
          <w:numId w:val="1"/>
        </w:numPr>
        <w:spacing w:after="40"/>
      </w:pPr>
      <w:r>
        <w:rPr>
          <w:b w:val="false"/>
          <w:bCs w:val="false"/>
          <w:color w:val="2B2F33"/>
          <w:sz w:val="21"/>
          <w:szCs w:val="21"/>
        </w:rPr>
        <w:t xml:space="preserve">If a form is missing from the Inventory Forms dropdown, it is added in the </w:t>
      </w:r>
      <w:r>
        <w:rPr>
          <w:b/>
          <w:bCs/>
          <w:color w:val="2B2F33"/>
          <w:sz w:val="21"/>
          <w:szCs w:val="21"/>
        </w:rPr>
        <w:t xml:space="preserve">HR Hub</w:t>
      </w:r>
      <w:r>
        <w:rPr>
          <w:b w:val="false"/>
          <w:bCs w:val="false"/>
          <w:color w:val="2B2F33"/>
          <w:sz w:val="21"/>
          <w:szCs w:val="21"/>
        </w:rPr>
        <w:t xml:space="preserve"> Templates catalogue.</w:t>
      </w:r>
    </w:p>
    <w:p>
      <w:pPr>
        <w:pStyle w:val="ListParagraph"/>
        <w:numPr>
          <w:ilvl w:val="0"/>
          <w:numId w:val="1"/>
        </w:numPr>
        <w:spacing w:after="40"/>
      </w:pPr>
      <w:r>
        <w:rPr>
          <w:b w:val="false"/>
          <w:bCs w:val="false"/>
          <w:color w:val="2B2F33"/>
          <w:sz w:val="21"/>
          <w:szCs w:val="21"/>
        </w:rPr>
        <w:t xml:space="preserve">If the Shareholders figures look wrong in the HR Hub, correct them in </w:t>
      </w:r>
      <w:r>
        <w:rPr>
          <w:b/>
          <w:bCs/>
          <w:color w:val="2B2F33"/>
          <w:sz w:val="21"/>
          <w:szCs w:val="21"/>
        </w:rPr>
        <w:t xml:space="preserve">Equity</w:t>
      </w:r>
      <w:r>
        <w:rPr>
          <w:b w:val="false"/>
          <w:bCs w:val="false"/>
          <w:color w:val="2B2F33"/>
          <w:sz w:val="21"/>
          <w:szCs w:val="21"/>
        </w:rPr>
        <w:t xml:space="preserve"> here — the HR Hub only displays what Accounting supplies.</w:t>
      </w:r>
    </w:p>
    <w:p>
      <w:pPr>
        <w:pStyle w:val="ListParagraph"/>
        <w:numPr>
          <w:ilvl w:val="0"/>
          <w:numId w:val="1"/>
        </w:numPr>
        <w:spacing w:after="40"/>
      </w:pPr>
      <w:r>
        <w:rPr>
          <w:b w:val="false"/>
          <w:bCs w:val="false"/>
          <w:color w:val="2B2F33"/>
          <w:sz w:val="21"/>
          <w:szCs w:val="21"/>
        </w:rPr>
        <w:t xml:space="preserve">A one-time exception around a system rename can leave a login holding an old role — a full sign out and back in refreshes it.</w:t>
      </w:r>
    </w:p>
    <w:p>
      <w:pPr>
        <w:pStyle w:val="Heading2"/>
        <w:spacing w:after="100" w:before="240"/>
      </w:pPr>
      <w:r>
        <w:rPr>
          <w:b/>
          <w:bCs/>
          <w:color w:val="0F5C4C"/>
          <w:sz w:val="30"/>
          <w:szCs w:val="30"/>
        </w:rPr>
        <w:t xml:space="preserve">5. Good Practice &amp; Cautions</w:t>
      </w:r>
    </w:p>
    <w:p>
      <w:pPr>
        <w:pStyle w:val="ListParagraph"/>
        <w:numPr>
          <w:ilvl w:val="0"/>
          <w:numId w:val="1"/>
        </w:numPr>
        <w:spacing w:after="40"/>
      </w:pPr>
      <w:r>
        <w:rPr>
          <w:b w:val="false"/>
          <w:bCs w:val="false"/>
          <w:color w:val="2B2F33"/>
          <w:sz w:val="21"/>
          <w:szCs w:val="21"/>
        </w:rPr>
        <w:t xml:space="preserve">One login per person — the system logs who did what.</w:t>
      </w:r>
    </w:p>
    <w:p>
      <w:pPr>
        <w:pStyle w:val="ListParagraph"/>
        <w:numPr>
          <w:ilvl w:val="0"/>
          <w:numId w:val="1"/>
        </w:numPr>
        <w:spacing w:after="40"/>
      </w:pPr>
      <w:r>
        <w:rPr>
          <w:b w:val="false"/>
          <w:bCs w:val="false"/>
          <w:color w:val="2B2F33"/>
          <w:sz w:val="21"/>
          <w:szCs w:val="21"/>
        </w:rPr>
        <w:t xml:space="preserve">Sign out on shared computers.</w:t>
      </w:r>
    </w:p>
    <w:p>
      <w:pPr>
        <w:pStyle w:val="ListParagraph"/>
        <w:numPr>
          <w:ilvl w:val="0"/>
          <w:numId w:val="1"/>
        </w:numPr>
        <w:spacing w:after="40"/>
      </w:pPr>
      <w:r>
        <w:rPr>
          <w:b w:val="false"/>
          <w:bCs w:val="false"/>
          <w:color w:val="2B2F33"/>
          <w:sz w:val="21"/>
          <w:szCs w:val="21"/>
        </w:rPr>
        <w:t xml:space="preserve">Attach proofs as you go — reports and vouchers depend on them.</w:t>
      </w:r>
    </w:p>
    <w:p>
      <w:pPr>
        <w:pStyle w:val="ListParagraph"/>
        <w:numPr>
          <w:ilvl w:val="0"/>
          <w:numId w:val="1"/>
        </w:numPr>
        <w:spacing w:after="40"/>
      </w:pPr>
      <w:r>
        <w:rPr>
          <w:b w:val="false"/>
          <w:bCs w:val="false"/>
          <w:color w:val="2B2F33"/>
          <w:sz w:val="21"/>
          <w:szCs w:val="21"/>
        </w:rPr>
        <w:t xml:space="preserve">Audit before paying — entries should be audited before an RFP.</w:t>
      </w:r>
    </w:p>
    <w:p>
      <w:pPr>
        <w:pStyle w:val="ListParagraph"/>
        <w:numPr>
          <w:ilvl w:val="0"/>
          <w:numId w:val="1"/>
        </w:numPr>
        <w:spacing w:after="40"/>
      </w:pPr>
      <w:r>
        <w:rPr>
          <w:b w:val="false"/>
          <w:bCs w:val="false"/>
          <w:color w:val="2B2F33"/>
          <w:sz w:val="21"/>
          <w:szCs w:val="21"/>
        </w:rPr>
        <w:t xml:space="preserve">Void, don’t delete, a paid POS order.</w:t>
      </w:r>
    </w:p>
    <w:p>
      <w:pPr>
        <w:pStyle w:val="ListParagraph"/>
        <w:numPr>
          <w:ilvl w:val="0"/>
          <w:numId w:val="1"/>
        </w:numPr>
        <w:spacing w:after="40"/>
      </w:pPr>
      <w:r>
        <w:rPr>
          <w:b w:val="false"/>
          <w:bCs w:val="false"/>
          <w:color w:val="2B2F33"/>
          <w:sz w:val="21"/>
          <w:szCs w:val="21"/>
        </w:rPr>
        <w:t xml:space="preserve">Test PayMongo in TEST MODE first, delete test links, then switch to LIVE.</w:t>
      </w:r>
    </w:p>
    <w:p>
      <w:pPr>
        <w:pStyle w:val="ListParagraph"/>
        <w:numPr>
          <w:ilvl w:val="0"/>
          <w:numId w:val="1"/>
        </w:numPr>
        <w:spacing w:after="40"/>
      </w:pPr>
      <w:r>
        <w:rPr>
          <w:b w:val="false"/>
          <w:bCs w:val="false"/>
          <w:color w:val="2B2F33"/>
          <w:sz w:val="21"/>
          <w:szCs w:val="21"/>
        </w:rPr>
        <w:t xml:space="preserve">Blocked or wrong? Fully sign out and back in first; if it persists, report to the Clinic Manager with a screenshot.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2026-07-20T05:43:37.174Z</dcterms:created>
  <dcterms:modified xsi:type="dcterms:W3CDTF">2026-07-20T05:43:37.177Z</dcterms:modified>
</cp:coreProperties>
</file>

<file path=docProps/custom.xml><?xml version="1.0" encoding="utf-8"?>
<Properties xmlns="http://schemas.openxmlformats.org/officeDocument/2006/custom-properties" xmlns:vt="http://schemas.openxmlformats.org/officeDocument/2006/docPropsVTypes"/>
</file>