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PANDUAN FUNGSIONAL FRONTEND</w:t>
      </w:r>
    </w:p>
    <w:p>
      <w:pPr>
        <w:pStyle w:val="Subtitle"/>
      </w:pPr>
      <w:r>
        <w:t xml:space="preserve">International Women Business &amp; Investment Forum (IWBIF) 2026</w:t>
      </w:r>
    </w:p>
    <w:p>
      <w:pPr>
        <w:pStyle w:val="Subtitle"/>
      </w:pPr>
      <w:r>
        <w:t xml:space="preserve">Panduan instalasi, konfigurasi, pengoperasian, dan pengujian aplikasi frontend</w:t>
      </w:r>
    </w:p>
    <w:p>
      <w:pPr>
        <w:pStyle w:val="Caption"/>
      </w:pPr>
      <w:r>
        <w:t xml:space="preserve">Versi dokumen: 1.0 | 17 Agustus 2026</w:t>
      </w:r>
    </w:p>
    <w:p>
      <w:pPr>
        <w:pStyle w:val="Warning"/>
      </w:pPr>
      <w:r>
        <w:t xml:space="preserve">Dokumen internal/demo. Kredensial di dalam dokumen ini tidak boleh digunakan pada lingkungan produksi.</w:t>
      </w:r>
    </w:p>
    <w:p>
      <w:pPr>
        <w:pStyle w:val="Heading1"/>
        <w:pageBreakBefore/>
      </w:pPr>
      <w:r>
        <w:t xml:space="preserve">1. Tujuan dan ruang lingkup</w:t>
      </w:r>
    </w:p>
    <w:p>
      <w:r>
        <w:t xml:space="preserve">Dokumen ini menjelaskan cara menyiapkan dan menjalankan frontend IWBIF 2026, fungsi yang tersedia bagi pengunjung, delegate, exhibitor, dan organizer, serta prosedur pengujian alur registrasi dan pembayaran.</w:t>
      </w:r>
    </w:p>
    <w:p>
      <w:r>
        <w:t xml:space="preserve">Frontend dibangun dengan Nuxt 4, Vue 3, Pinia, dan Tailwind CSS. Semua data operasionalâ€”akun, event, registrasi, metode pembayaran, status transaksi, invoice, dan tiketâ€”bersumber dari backend melalui API /api/v1.</w:t>
      </w:r>
    </w:p>
    <w:p>
      <w:pPr>
        <w:pStyle w:val="Heading1"/>
      </w:pPr>
      <w:r>
        <w:t xml:space="preserve">2. Prasyarat sistem</w:t>
      </w:r>
    </w:p>
    <w:p>
      <w:pPr>
        <w:pStyle w:val="ListBullet"/>
      </w:pPr>
      <w:r>
        <w:t xml:space="preserve">Node.js versi 20 LTS atau versi kompatibel dengan Nuxt 4.</w:t>
      </w:r>
    </w:p>
    <w:p>
      <w:pPr>
        <w:pStyle w:val="ListBullet"/>
      </w:pPr>
      <w:r>
        <w:t xml:space="preserve">npm tersedia melalui instalasi Node.js.</w:t>
      </w:r>
    </w:p>
    <w:p>
      <w:pPr>
        <w:pStyle w:val="ListBullet"/>
      </w:pPr>
      <w:r>
        <w:t xml:space="preserve">Backend IWBIF aktif dan dapat diakses oleh browser.</w:t>
      </w:r>
    </w:p>
    <w:p>
      <w:pPr>
        <w:pStyle w:val="ListBullet"/>
      </w:pPr>
      <w:r>
        <w:t xml:space="preserve">Microsoft Edge, Google Chrome, Firefox, atau Safari versi terbaru.</w:t>
      </w:r>
    </w:p>
    <w:p>
      <w:pPr>
        <w:pStyle w:val="ListBullet"/>
      </w:pPr>
      <w:r>
        <w:t xml:space="preserve">Koneksi ke DOKU sandbox diperlukan untuk menguji pembayaran.</w:t>
      </w:r>
    </w:p>
    <w:p>
      <w:pPr>
        <w:pStyle w:val="Heading1"/>
      </w:pPr>
      <w:r>
        <w:t xml:space="preserve">3. Struktur aplikasi</w:t>
      </w:r>
    </w:p>
    <w:tbl>
      <w:tblPr>
        <w:tblW w:w="0" w:type="auto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9E2F3"/>
          <w:insideV w:val="single" w:sz="4" w:color="D9E2F3"/>
        </w:tblBorders>
      </w:tblPr>
      <w:tblGrid>
        <w:gridCol w:w="2600"/>
        <w:gridCol w:w="6500"/>
      </w:tblGrid>
      <w:tr>
        <w:tc>
          <w:tcPr>
            <w:tcW w:w="2600" w:type="dxa"/>
            <w:shd w:fill="17365D"/>
          </w:tcPr>
          <w:p>
            <w:r>
              <w:rPr>
                <w:color w:val="FFFFFF"/>
                <w:b/>
              </w:rPr>
              <w:t xml:space="preserve">Lokasi</w:t>
            </w:r>
          </w:p>
        </w:tc>
        <w:tc>
          <w:tcPr>
            <w:tcW w:w="6500" w:type="dxa"/>
            <w:shd w:fill="17365D"/>
          </w:tcPr>
          <w:p>
            <w:r>
              <w:rPr>
                <w:color w:val="FFFFFF"/>
                <w:b/>
              </w:rPr>
              <w:t xml:space="preserve">Fungsi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app/pages</w:t>
            </w:r>
          </w:p>
        </w:tc>
        <w:tc>
          <w:tcPr>
            <w:tcW w:w="6500" w:type="dxa"/>
          </w:tcPr>
          <w:p>
            <w:r>
              <w:rPr/>
              <w:t xml:space="preserve">Halaman publik, autentikasi, registrasi, dashboard, dan panel organizer.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app/composables</w:t>
            </w:r>
          </w:p>
        </w:tc>
        <w:tc>
          <w:tcPr>
            <w:tcW w:w="6500" w:type="dxa"/>
          </w:tcPr>
          <w:p>
            <w:r>
              <w:rPr/>
              <w:t xml:space="preserve">Kontrak dan fungsi akses API seperti autentikasi, registrasi, pembayaran, tiket, dan laporan.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app/stores</w:t>
            </w:r>
          </w:p>
        </w:tc>
        <w:tc>
          <w:tcPr>
            <w:tcW w:w="6500" w:type="dxa"/>
          </w:tcPr>
          <w:p>
            <w:r>
              <w:rPr/>
              <w:t xml:space="preserve">State global Pinia, termasuk token dan identitas pengguna.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app/plugins/api.ts</w:t>
            </w:r>
          </w:p>
        </w:tc>
        <w:tc>
          <w:tcPr>
            <w:tcW w:w="6500" w:type="dxa"/>
          </w:tcPr>
          <w:p>
            <w:r>
              <w:rPr/>
              <w:t xml:space="preserve">API client terpusat dan integrasi autentikasi.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app/assets/css/main.css</w:t>
            </w:r>
          </w:p>
        </w:tc>
        <w:tc>
          <w:tcPr>
            <w:tcW w:w="6500" w:type="dxa"/>
          </w:tcPr>
          <w:p>
            <w:r>
              <w:rPr/>
              <w:t xml:space="preserve">Style global aplikasi.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public</w:t>
            </w:r>
          </w:p>
        </w:tc>
        <w:tc>
          <w:tcPr>
            <w:tcW w:w="6500" w:type="dxa"/>
          </w:tcPr>
          <w:p>
            <w:r>
              <w:rPr/>
              <w:t xml:space="preserve">Aset statis seperti favicon dan gambar publik.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docs</w:t>
            </w:r>
          </w:p>
        </w:tc>
        <w:tc>
          <w:tcPr>
            <w:tcW w:w="6500" w:type="dxa"/>
          </w:tcPr>
          <w:p>
            <w:r>
              <w:rPr/>
              <w:t xml:space="preserve">Dokumentasi API dan integrasi pembayaran.</w:t>
            </w:r>
          </w:p>
        </w:tc>
      </w:tr>
    </w:tbl>
    <w:p>
      <w:pPr>
        <w:pStyle w:val="Heading1"/>
        <w:pageBreakBefore/>
      </w:pPr>
      <w:r>
        <w:t xml:space="preserve">4. Instalasi dan konfigurasi</w:t>
      </w:r>
    </w:p>
    <w:p>
      <w:pPr>
        <w:pStyle w:val="Heading2"/>
      </w:pPr>
      <w:r>
        <w:t xml:space="preserve">4.1 Instalasi dependensi</w:t>
      </w:r>
    </w:p>
    <w:p>
      <w:pPr>
        <w:pStyle w:val="Code"/>
      </w:pPr>
      <w:r>
        <w:t xml:space="preserve">npm install</w:t>
      </w:r>
    </w:p>
    <w:p>
      <w:r>
        <w:t xml:space="preserve">Pada Windows PowerShell dengan execution policy yang membatasi npm.ps1, gunakan npm.cmd:</w:t>
      </w:r>
    </w:p>
    <w:p>
      <w:pPr>
        <w:pStyle w:val="Code"/>
      </w:pPr>
      <w:r>
        <w:t xml:space="preserve">npm.cmd install</w:t>
      </w:r>
    </w:p>
    <w:p>
      <w:pPr>
        <w:pStyle w:val="Heading2"/>
      </w:pPr>
      <w:r>
        <w:t xml:space="preserve">4.2 Membuat environment lokal</w:t>
      </w:r>
    </w:p>
    <w:p>
      <w:pPr>
        <w:pStyle w:val="Code"/>
      </w:pPr>
      <w:r>
        <w:t xml:space="preserve">Copy-Item .env.example .env</w:t>
      </w:r>
    </w:p>
    <w:p>
      <w:r>
        <w:t xml:space="preserve">Isi variabel berikut sesuai alamat backend dan frontend:</w:t>
      </w:r>
    </w:p>
    <w:p>
      <w:pPr>
        <w:pStyle w:val="Code"/>
      </w:pPr>
      <w:r>
        <w:t xml:space="preserve">NUXT_PUBLIC_API_BASE_URL=http://127.0.0.1:8000/api/v1
NUXT_PUBLIC_SITE_URL=http://localhost:3000
NUXT_PUBLIC_APP_NAME=IWBIF 2026</w:t>
      </w:r>
    </w:p>
    <w:p>
      <w:r>
        <w:t xml:space="preserve">Untuk production, contoh konfigurasi yang digunakan adalah:</w:t>
      </w:r>
    </w:p>
    <w:p>
      <w:pPr>
        <w:pStyle w:val="Code"/>
      </w:pPr>
      <w:r>
        <w:t xml:space="preserve">NUXT_PUBLIC_API_BASE_URL=https://api-event.gagakrimang.web.id/api/v1
NUXT_PUBLIC_SITE_URL=https://event.gagakrimang.web.id</w:t>
      </w:r>
    </w:p>
    <w:p>
      <w:pPr>
        <w:pStyle w:val="Warning"/>
      </w:pPr>
      <w:r>
        <w:t xml:space="preserve">Jangan pernah menyimpan Consumer Secret, DOKU key, merchant private key, password database, atau credential backend di variabel NUXT_PUBLIC karena nilainya akan masuk ke bundle browser.</w:t>
      </w:r>
    </w:p>
    <w:p>
      <w:pPr>
        <w:pStyle w:val="Heading1"/>
      </w:pPr>
      <w:r>
        <w:t xml:space="preserve">5. Menjalankan aplikasi</w:t>
      </w:r>
    </w:p>
    <w:p>
      <w:pPr>
        <w:pStyle w:val="Heading2"/>
      </w:pPr>
      <w:r>
        <w:t xml:space="preserve">5.1 Development</w:t>
      </w:r>
    </w:p>
    <w:p>
      <w:pPr>
        <w:pStyle w:val="Code"/>
      </w:pPr>
      <w:r>
        <w:t xml:space="preserve">npm run dev</w:t>
      </w:r>
    </w:p>
    <w:p>
      <w:r>
        <w:t xml:space="preserve">Buka http://localhost:3000. Nuxt akan melakukan hot reload ketika source code berubah.</w:t>
      </w:r>
    </w:p>
    <w:p>
      <w:pPr>
        <w:pStyle w:val="Heading2"/>
      </w:pPr>
      <w:r>
        <w:t xml:space="preserve">5.2 Build production</w:t>
      </w:r>
    </w:p>
    <w:p>
      <w:pPr>
        <w:pStyle w:val="Code"/>
      </w:pPr>
      <w:r>
        <w:t xml:space="preserve">npm run build
node .output/server/index.mjs</w:t>
      </w:r>
    </w:p>
    <w:p>
      <w:r>
        <w:t xml:space="preserve">Secara default server hasil build berjalan pada port 3000. Gunakan NITRO_PORT dan NITRO_HOST sesuai kebutuhan deployment.</w:t>
      </w:r>
    </w:p>
    <w:p>
      <w:pPr>
        <w:pStyle w:val="Heading2"/>
      </w:pPr>
      <w:r>
        <w:t xml:space="preserve">5.3 Preview atau static generation</w:t>
      </w:r>
    </w:p>
    <w:p>
      <w:pPr>
        <w:pStyle w:val="Code"/>
      </w:pPr>
      <w:r>
        <w:t xml:space="preserve">npm run preview
npm run generate</w:t>
      </w:r>
    </w:p>
    <w:p>
      <w:r>
        <w:t xml:space="preserve">Dashboard dan halaman admin dikonfigurasi client-side (SSR nonaktif). Pastikan web server memiliki fallback routing yang benar bila hasil statis digunakan.</w:t>
      </w:r>
    </w:p>
    <w:p>
      <w:pPr>
        <w:pStyle w:val="Heading1"/>
        <w:pageBreakBefore/>
      </w:pPr>
      <w:r>
        <w:t xml:space="preserve">6. Akun demo</w:t>
      </w:r>
    </w:p>
    <w:p>
      <w:r>
        <w:t xml:space="preserve">Gunakan akun berikut hanya untuk demonstrasi dan pengujian pada environment yang telah disiapkan.</w:t>
      </w:r>
    </w:p>
    <w:tbl>
      <w:tblPr>
        <w:tblW w:w="0" w:type="auto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9E2F3"/>
          <w:insideV w:val="single" w:sz="4" w:color="D9E2F3"/>
        </w:tblBorders>
      </w:tblPr>
      <w:tblGrid>
        <w:gridCol w:w="1800"/>
        <w:gridCol w:w="2800"/>
        <w:gridCol w:w="2200"/>
        <w:gridCol w:w="2800"/>
      </w:tblGrid>
      <w:tr>
        <w:tc>
          <w:tcPr>
            <w:tcW w:w="1800" w:type="dxa"/>
            <w:shd w:fill="17365D"/>
          </w:tcPr>
          <w:p>
            <w:r>
              <w:rPr>
                <w:color w:val="FFFFFF"/>
                <w:b/>
              </w:rPr>
              <w:t xml:space="preserve">Peran</w:t>
            </w:r>
          </w:p>
        </w:tc>
        <w:tc>
          <w:tcPr>
            <w:tcW w:w="2800" w:type="dxa"/>
            <w:shd w:fill="17365D"/>
          </w:tcPr>
          <w:p>
            <w:r>
              <w:rPr>
                <w:color w:val="FFFFFF"/>
                <w:b/>
              </w:rPr>
              <w:t xml:space="preserve">Email</w:t>
            </w:r>
          </w:p>
        </w:tc>
        <w:tc>
          <w:tcPr>
            <w:tcW w:w="2200" w:type="dxa"/>
            <w:shd w:fill="17365D"/>
          </w:tcPr>
          <w:p>
            <w:r>
              <w:rPr>
                <w:color w:val="FFFFFF"/>
                <w:b/>
              </w:rPr>
              <w:t xml:space="preserve">Password</w:t>
            </w:r>
          </w:p>
        </w:tc>
        <w:tc>
          <w:tcPr>
            <w:tcW w:w="2800" w:type="dxa"/>
            <w:shd w:fill="17365D"/>
          </w:tcPr>
          <w:p>
            <w:r>
              <w:rPr>
                <w:color w:val="FFFFFF"/>
                <w:b/>
              </w:rPr>
              <w:t xml:space="preserve">Akses utama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Organizer</w:t>
            </w:r>
          </w:p>
        </w:tc>
        <w:tc>
          <w:tcPr>
            <w:tcW w:w="2800" w:type="dxa"/>
          </w:tcPr>
          <w:p>
            <w:r>
              <w:rPr/>
              <w:t xml:space="preserve">organizer@iwbif2026.org</w:t>
            </w:r>
          </w:p>
        </w:tc>
        <w:tc>
          <w:tcPr>
            <w:tcW w:w="2200" w:type="dxa"/>
          </w:tcPr>
          <w:p>
            <w:r>
              <w:rPr/>
              <w:t xml:space="preserve">IwbifDemo2026!</w:t>
            </w:r>
          </w:p>
        </w:tc>
        <w:tc>
          <w:tcPr>
            <w:tcW w:w="2800" w:type="dxa"/>
          </w:tcPr>
          <w:p>
            <w:r>
              <w:rPr/>
              <w:t xml:space="preserve">Dashboard organizer dan laporan penjualan/pendapatan.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Delegate</w:t>
            </w:r>
          </w:p>
        </w:tc>
        <w:tc>
          <w:tcPr>
            <w:tcW w:w="2800" w:type="dxa"/>
          </w:tcPr>
          <w:p>
            <w:r>
              <w:rPr/>
              <w:t xml:space="preserve">sari@nusantarafoods.id</w:t>
            </w:r>
          </w:p>
        </w:tc>
        <w:tc>
          <w:tcPr>
            <w:tcW w:w="2200" w:type="dxa"/>
          </w:tcPr>
          <w:p>
            <w:r>
              <w:rPr/>
              <w:t xml:space="preserve">IwbifDemo2026!</w:t>
            </w:r>
          </w:p>
        </w:tc>
        <w:tc>
          <w:tcPr>
            <w:tcW w:w="2800" w:type="dxa"/>
          </w:tcPr>
          <w:p>
            <w:r>
              <w:rPr/>
              <w:t xml:space="preserve">Dashboard peserta, profil, pembayaran, invoice, tiket, dan jadwal.</w:t>
            </w:r>
          </w:p>
        </w:tc>
      </w:tr>
    </w:tbl>
    <w:p>
      <w:pPr>
        <w:pStyle w:val="Warning"/>
      </w:pPr>
      <w:r>
        <w:t xml:space="preserve">Keamanan: jangan menyalin akun demo ke production. Ubah password apabila dokumen dibagikan di luar tim pengujian.</w:t>
      </w:r>
    </w:p>
    <w:p>
      <w:pPr>
        <w:pStyle w:val="Heading1"/>
      </w:pPr>
      <w:r>
        <w:t xml:space="preserve">7. Cara login</w:t>
      </w:r>
    </w:p>
    <w:p>
      <w:pPr>
        <w:pStyle w:val="ListBullet"/>
      </w:pPr>
      <w:r>
        <w:t xml:space="preserve">Buka /auth/login.</w:t>
      </w:r>
    </w:p>
    <w:p>
      <w:pPr>
        <w:pStyle w:val="ListBullet"/>
      </w:pPr>
      <w:r>
        <w:t xml:space="preserve">Masukkan email dan password akun demo.</w:t>
      </w:r>
    </w:p>
    <w:p>
      <w:pPr>
        <w:pStyle w:val="ListBullet"/>
      </w:pPr>
      <w:r>
        <w:t xml:space="preserve">Klik Login. Setelah berhasil, pengguna diarahkan ke dashboard.</w:t>
      </w:r>
    </w:p>
    <w:p>
      <w:pPr>
        <w:pStyle w:val="ListBullet"/>
      </w:pPr>
      <w:r>
        <w:t xml:space="preserve">Jika sesi berakhir, frontend mencoba refresh token satu kali. Jika gagal, pengguna dikeluarkan dan perlu login kembali.</w:t>
      </w:r>
    </w:p>
    <w:p>
      <w:pPr>
        <w:pStyle w:val="Heading1"/>
      </w:pPr>
      <w:r>
        <w:t xml:space="preserve">8. Fungsi publik</w:t>
      </w:r>
    </w:p>
    <w:tbl>
      <w:tblPr>
        <w:tblW w:w="0" w:type="auto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9E2F3"/>
          <w:insideV w:val="single" w:sz="4" w:color="D9E2F3"/>
        </w:tblBorders>
      </w:tblPr>
      <w:tblGrid>
        <w:gridCol w:w="2700"/>
        <w:gridCol w:w="6400"/>
      </w:tblGrid>
      <w:tr>
        <w:tc>
          <w:tcPr>
            <w:tcW w:w="2700" w:type="dxa"/>
            <w:shd w:fill="17365D"/>
          </w:tcPr>
          <w:p>
            <w:r>
              <w:rPr>
                <w:color w:val="FFFFFF"/>
                <w:b/>
              </w:rPr>
              <w:t xml:space="preserve">Menu/halaman</w:t>
            </w:r>
          </w:p>
        </w:tc>
        <w:tc>
          <w:tcPr>
            <w:tcW w:w="6400" w:type="dxa"/>
            <w:shd w:fill="17365D"/>
          </w:tcPr>
          <w:p>
            <w:r>
              <w:rPr>
                <w:color w:val="FFFFFF"/>
                <w:b/>
              </w:rPr>
              <w:t xml:space="preserve">Fungsi</w:t>
            </w:r>
          </w:p>
        </w:tc>
      </w:tr>
      <w:tr>
        <w:tc>
          <w:tcPr>
            <w:tcW w:w="2700" w:type="dxa"/>
          </w:tcPr>
          <w:p>
            <w:r>
              <w:rPr/>
              <w:t xml:space="preserve">Home</w:t>
            </w:r>
          </w:p>
        </w:tc>
        <w:tc>
          <w:tcPr>
            <w:tcW w:w="6400" w:type="dxa"/>
          </w:tcPr>
          <w:p>
            <w:r>
              <w:rPr/>
              <w:t xml:space="preserve">Ringkasan event dan ajakan registrasi.</w:t>
            </w:r>
          </w:p>
        </w:tc>
      </w:tr>
      <w:tr>
        <w:tc>
          <w:tcPr>
            <w:tcW w:w="2700" w:type="dxa"/>
          </w:tcPr>
          <w:p>
            <w:r>
              <w:rPr/>
              <w:t xml:space="preserve">About, Program, Workshops</w:t>
            </w:r>
          </w:p>
        </w:tc>
        <w:tc>
          <w:tcPr>
            <w:tcW w:w="6400" w:type="dxa"/>
          </w:tcPr>
          <w:p>
            <w:r>
              <w:rPr/>
              <w:t xml:space="preserve">Informasi event, agenda, dan aktivitas delegate.</w:t>
            </w:r>
          </w:p>
        </w:tc>
      </w:tr>
      <w:tr>
        <w:tc>
          <w:tcPr>
            <w:tcW w:w="2700" w:type="dxa"/>
          </w:tcPr>
          <w:p>
            <w:r>
              <w:rPr/>
              <w:t xml:space="preserve">Speakers</w:t>
            </w:r>
          </w:p>
        </w:tc>
        <w:tc>
          <w:tcPr>
            <w:tcW w:w="6400" w:type="dxa"/>
          </w:tcPr>
          <w:p>
            <w:r>
              <w:rPr/>
              <w:t xml:space="preserve">Daftar pembicara dan pemimpin ekosistem.</w:t>
            </w:r>
          </w:p>
        </w:tc>
      </w:tr>
      <w:tr>
        <w:tc>
          <w:tcPr>
            <w:tcW w:w="2700" w:type="dxa"/>
          </w:tcPr>
          <w:p>
            <w:r>
              <w:rPr/>
              <w:t xml:space="preserve">Tickets</w:t>
            </w:r>
          </w:p>
        </w:tc>
        <w:tc>
          <w:tcPr>
            <w:tcW w:w="6400" w:type="dxa"/>
          </w:tcPr>
          <w:p>
            <w:r>
              <w:rPr/>
              <w:t xml:space="preserve">Paket delegate yang diambil dari backend.</w:t>
            </w:r>
          </w:p>
        </w:tc>
      </w:tr>
      <w:tr>
        <w:tc>
          <w:tcPr>
            <w:tcW w:w="2700" w:type="dxa"/>
          </w:tcPr>
          <w:p>
            <w:r>
              <w:rPr/>
              <w:t xml:space="preserve">Business Matching dan Deal Room</w:t>
            </w:r>
          </w:p>
        </w:tc>
        <w:tc>
          <w:tcPr>
            <w:tcW w:w="6400" w:type="dxa"/>
          </w:tcPr>
          <w:p>
            <w:r>
              <w:rPr/>
              <w:t xml:space="preserve">Informasi networking dan peluang pertemuan bisnis.</w:t>
            </w:r>
          </w:p>
        </w:tc>
      </w:tr>
      <w:tr>
        <w:tc>
          <w:tcPr>
            <w:tcW w:w="2700" w:type="dxa"/>
          </w:tcPr>
          <w:p>
            <w:r>
              <w:rPr/>
              <w:t xml:space="preserve">Exhibition dan Partners</w:t>
            </w:r>
          </w:p>
        </w:tc>
        <w:tc>
          <w:tcPr>
            <w:tcW w:w="6400" w:type="dxa"/>
          </w:tcPr>
          <w:p>
            <w:r>
              <w:rPr/>
              <w:t xml:space="preserve">Informasi exhibitor dan kolaborasi mitra.</w:t>
            </w:r>
          </w:p>
        </w:tc>
      </w:tr>
      <w:tr>
        <w:tc>
          <w:tcPr>
            <w:tcW w:w="2700" w:type="dxa"/>
          </w:tcPr>
          <w:p>
            <w:r>
              <w:rPr/>
              <w:t xml:space="preserve">FAQ, Contact, Legal</w:t>
            </w:r>
          </w:p>
        </w:tc>
        <w:tc>
          <w:tcPr>
            <w:tcW w:w="6400" w:type="dxa"/>
          </w:tcPr>
          <w:p>
            <w:r>
              <w:rPr/>
              <w:t xml:space="preserve">Bantuan, kontak, privacy, terms, code of conduct, refund, dan consent.</w:t>
            </w:r>
          </w:p>
        </w:tc>
      </w:tr>
    </w:tbl>
    <w:p>
      <w:pPr>
        <w:pStyle w:val="Heading1"/>
        <w:pageBreakBefore/>
      </w:pPr>
      <w:r>
        <w:t xml:space="preserve">9. Registrasi pengguna dan peserta</w:t>
      </w:r>
    </w:p>
    <w:p>
      <w:pPr>
        <w:pStyle w:val="Heading2"/>
      </w:pPr>
      <w:r>
        <w:t xml:space="preserve">9.1 Membuat akun baru</w:t>
      </w:r>
    </w:p>
    <w:p>
      <w:pPr>
        <w:pStyle w:val="ListBullet"/>
      </w:pPr>
      <w:r>
        <w:t xml:space="preserve">Buka /auth/register, isi nama, email, password, dan konfirmasi password.</w:t>
      </w:r>
    </w:p>
    <w:p>
      <w:pPr>
        <w:pStyle w:val="ListBullet"/>
      </w:pPr>
      <w:r>
        <w:t xml:space="preserve">Setelah akun dibuat, pilih jenis registrasi Delegate atau Exhibitor.</w:t>
      </w:r>
    </w:p>
    <w:p>
      <w:pPr>
        <w:pStyle w:val="Heading2"/>
      </w:pPr>
      <w:r>
        <w:t xml:space="preserve">9.2 Registrasi Delegate</w:t>
      </w:r>
    </w:p>
    <w:p>
      <w:pPr>
        <w:pStyle w:val="ListBullet"/>
      </w:pPr>
      <w:r>
        <w:t xml:space="preserve">Login, lalu buka /register/delegate.</w:t>
      </w:r>
    </w:p>
    <w:p>
      <w:pPr>
        <w:pStyle w:val="ListBullet"/>
      </w:pPr>
      <w:r>
        <w:t xml:space="preserve">Pilih paket dan aktivitas yang disediakan backend.</w:t>
      </w:r>
    </w:p>
    <w:p>
      <w:pPr>
        <w:pStyle w:val="ListBullet"/>
      </w:pPr>
      <w:r>
        <w:t xml:space="preserve">Lengkapi identitas, organisasi, perjalanan, kebutuhan khusus, preferensi business matching, invoice, dan consent.</w:t>
      </w:r>
    </w:p>
    <w:p>
      <w:pPr>
        <w:pStyle w:val="ListBullet"/>
      </w:pPr>
      <w:r>
        <w:t xml:space="preserve">Registrasi disimpan sebagai draft sebelum proses submit dan pembayaran.</w:t>
      </w:r>
    </w:p>
    <w:p>
      <w:pPr>
        <w:pStyle w:val="ListBullet"/>
      </w:pPr>
      <w:r>
        <w:t xml:space="preserve">Dokumen PASSPORT_COPY wajib tersedia sebelum registrasi dapat disubmit sesuai kontrak backend.</w:t>
      </w:r>
    </w:p>
    <w:p>
      <w:pPr>
        <w:pStyle w:val="Heading2"/>
      </w:pPr>
      <w:r>
        <w:t xml:space="preserve">9.3 Registrasi Exhibitor</w:t>
      </w:r>
    </w:p>
    <w:p>
      <w:pPr>
        <w:pStyle w:val="ListBullet"/>
      </w:pPr>
      <w:r>
        <w:t xml:space="preserve">Buka /register/exhibitor setelah login.</w:t>
      </w:r>
    </w:p>
    <w:p>
      <w:pPr>
        <w:pStyle w:val="ListBullet"/>
      </w:pPr>
      <w:r>
        <w:t xml:space="preserve">Lengkapi data perusahaan, kontak, produk, booth, listrik, kebutuhan khusus, dan persetujuan.</w:t>
      </w:r>
    </w:p>
    <w:p>
      <w:pPr>
        <w:pStyle w:val="ListBullet"/>
      </w:pPr>
      <w:r>
        <w:t xml:space="preserve">Unggah product catalogue sesuai ketentuan backend untuk menyelesaikan submission.</w:t>
      </w:r>
    </w:p>
    <w:p>
      <w:pPr>
        <w:pStyle w:val="Heading1"/>
      </w:pPr>
      <w:r>
        <w:t xml:space="preserve">10. Dashboard Delegate</w:t>
      </w:r>
    </w:p>
    <w:tbl>
      <w:tblPr>
        <w:tblW w:w="0" w:type="auto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9E2F3"/>
          <w:insideV w:val="single" w:sz="4" w:color="D9E2F3"/>
        </w:tblBorders>
      </w:tblPr>
      <w:tblGrid>
        <w:gridCol w:w="2800"/>
        <w:gridCol w:w="6300"/>
      </w:tblGrid>
      <w:tr>
        <w:tc>
          <w:tcPr>
            <w:tcW w:w="2800" w:type="dxa"/>
            <w:shd w:fill="17365D"/>
          </w:tcPr>
          <w:p>
            <w:r>
              <w:rPr>
                <w:color w:val="FFFFFF"/>
                <w:b/>
              </w:rPr>
              <w:t xml:space="preserve">Fungsi</w:t>
            </w:r>
          </w:p>
        </w:tc>
        <w:tc>
          <w:tcPr>
            <w:tcW w:w="6300" w:type="dxa"/>
            <w:shd w:fill="17365D"/>
          </w:tcPr>
          <w:p>
            <w:r>
              <w:rPr>
                <w:color w:val="FFFFFF"/>
                <w:b/>
              </w:rPr>
              <w:t xml:space="preserve">Penggunaan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Profile</w:t>
            </w:r>
          </w:p>
        </w:tc>
        <w:tc>
          <w:tcPr>
            <w:tcW w:w="6300" w:type="dxa"/>
          </w:tcPr>
          <w:p>
            <w:r>
              <w:rPr/>
              <w:t xml:space="preserve">Melihat dan memperbarui profil participant.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Payment</w:t>
            </w:r>
          </w:p>
        </w:tc>
        <w:tc>
          <w:tcPr>
            <w:tcW w:w="6300" w:type="dxa"/>
          </w:tcPr>
          <w:p>
            <w:r>
              <w:rPr/>
              <w:t xml:space="preserve">Memilih channel aktif dan membuat transaksi.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Payment Status</w:t>
            </w:r>
          </w:p>
        </w:tc>
        <w:tc>
          <w:tcPr>
            <w:tcW w:w="6300" w:type="dxa"/>
          </w:tcPr>
          <w:p>
            <w:r>
              <w:rPr/>
              <w:t xml:space="preserve">Memantau status created/pending sampai success, failed, atau expired.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Invoice</w:t>
            </w:r>
          </w:p>
        </w:tc>
        <w:tc>
          <w:tcPr>
            <w:tcW w:w="6300" w:type="dxa"/>
          </w:tcPr>
          <w:p>
            <w:r>
              <w:rPr/>
              <w:t xml:space="preserve">Melihat invoice setelah pembayaran tersedia/terkonfirmasi.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My Ticket</w:t>
            </w:r>
          </w:p>
        </w:tc>
        <w:tc>
          <w:tcPr>
            <w:tcW w:w="6300" w:type="dxa"/>
          </w:tcPr>
          <w:p>
            <w:r>
              <w:rPr/>
              <w:t xml:space="preserve">Melihat tiket dan QR check-in setelah syarat backend terpenuhi.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Schedule</w:t>
            </w:r>
          </w:p>
        </w:tc>
        <w:tc>
          <w:tcPr>
            <w:tcW w:w="6300" w:type="dxa"/>
          </w:tcPr>
          <w:p>
            <w:r>
              <w:rPr/>
              <w:t xml:space="preserve">Melihat agenda kegiatan.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Directory</w:t>
            </w:r>
          </w:p>
        </w:tc>
        <w:tc>
          <w:tcPr>
            <w:tcW w:w="6300" w:type="dxa"/>
          </w:tcPr>
          <w:p>
            <w:r>
              <w:rPr/>
              <w:t xml:space="preserve">Menemukan participant lain berdasarkan status dan consent.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Announcements dan Certificate</w:t>
            </w:r>
          </w:p>
        </w:tc>
        <w:tc>
          <w:tcPr>
            <w:tcW w:w="6300" w:type="dxa"/>
          </w:tcPr>
          <w:p>
            <w:r>
              <w:rPr/>
              <w:t xml:space="preserve">Informasi operasional dan dokumen partisipasi.</w:t>
            </w:r>
          </w:p>
        </w:tc>
      </w:tr>
    </w:tbl>
    <w:p>
      <w:pPr>
        <w:pStyle w:val="Heading1"/>
        <w:pageBreakBefore/>
      </w:pPr>
      <w:r>
        <w:t xml:space="preserve">11. Prosedur pembayaran</w:t>
      </w:r>
    </w:p>
    <w:p>
      <w:r>
        <w:t xml:space="preserve">Halaman /dashboard/payment selalu mengambil katalog channel aktif dari GET /payments/methods. Frontend tidak menghitung kurs atau nominal; nilai charge berasal dari backend.</w:t>
      </w:r>
    </w:p>
    <w:p>
      <w:pPr>
        <w:pStyle w:val="Heading2"/>
      </w:pPr>
      <w:r>
        <w:t xml:space="preserve">11.1 Virtual Account</w:t>
      </w:r>
    </w:p>
    <w:p>
      <w:pPr>
        <w:pStyle w:val="ListBullet"/>
      </w:pPr>
      <w:r>
        <w:t xml:space="preserve">Frontend memeriksa bank yang siap melalui /payments/doku/direct/methods.</w:t>
      </w:r>
    </w:p>
    <w:p>
      <w:pPr>
        <w:pStyle w:val="ListBullet"/>
      </w:pPr>
      <w:r>
        <w:t xml:space="preserve">Pilih bank aktif, lalu klik Continue.</w:t>
      </w:r>
    </w:p>
    <w:p>
      <w:pPr>
        <w:pStyle w:val="ListBullet"/>
      </w:pPr>
      <w:r>
        <w:t xml:space="preserve">Frontend membuat VA dan menampilkan nomor, nominal IDR, expiry, tombol salin, dan petunjuk pembayaran.</w:t>
      </w:r>
    </w:p>
    <w:p>
      <w:pPr>
        <w:pStyle w:val="ListBullet"/>
      </w:pPr>
      <w:r>
        <w:t xml:space="preserve">Buka Check payment status untuk memantau notification DOKU yang telah diverifikasi backend.</w:t>
      </w:r>
    </w:p>
    <w:p>
      <w:pPr>
        <w:pStyle w:val="Heading2"/>
      </w:pPr>
      <w:r>
        <w:t xml:space="preserve">11.2 QRIS</w:t>
      </w:r>
    </w:p>
    <w:p>
      <w:pPr>
        <w:pStyle w:val="ListBullet"/>
      </w:pPr>
      <w:r>
        <w:t xml:space="preserve">QRIS hanya muncul jika capability backend qris bernilai true.</w:t>
      </w:r>
    </w:p>
    <w:p>
      <w:pPr>
        <w:pStyle w:val="ListBullet"/>
      </w:pPr>
      <w:r>
        <w:t xml:space="preserve">Klik Continue untuk menghasilkan QR dinamis, lalu pindai menggunakan aplikasi pembayaran yang mendukung QRIS.</w:t>
      </w:r>
    </w:p>
    <w:p>
      <w:pPr>
        <w:pStyle w:val="ListBullet"/>
      </w:pPr>
      <w:r>
        <w:t xml:space="preserve">Status sukses hanya ditampilkan setelah backend menerima dan memverifikasi notification DOKU.</w:t>
      </w:r>
    </w:p>
    <w:p>
      <w:pPr>
        <w:pStyle w:val="Heading2"/>
      </w:pPr>
      <w:r>
        <w:t xml:space="preserve">11.3 Direct Debit</w:t>
      </w:r>
    </w:p>
    <w:p>
      <w:pPr>
        <w:pStyle w:val="ListBullet"/>
      </w:pPr>
      <w:r>
        <w:t xml:space="preserve">Masukkan nomor telepon yang terdaftar pada bank; Device ID bersifat opsional.</w:t>
      </w:r>
    </w:p>
    <w:p>
      <w:pPr>
        <w:pStyle w:val="ListBullet"/>
      </w:pPr>
      <w:r>
        <w:t xml:space="preserve">Frontend membuat account binding. Selesaikan redirect/OTP/PIN pada halaman bank apabila diminta.</w:t>
      </w:r>
    </w:p>
    <w:p>
      <w:pPr>
        <w:pStyle w:val="ListBullet"/>
      </w:pPr>
      <w:r>
        <w:t xml:space="preserve">Setelah binding, frontend membuat pembayaran menggunakan binding_id.</w:t>
      </w:r>
    </w:p>
    <w:p>
      <w:pPr>
        <w:pStyle w:val="ListBullet"/>
      </w:pPr>
      <w:r>
        <w:t xml:space="preserve">Jika diminta, masukkan OTP bank dan kirim dari halaman pembayaran.</w:t>
      </w:r>
    </w:p>
    <w:p>
      <w:pPr>
        <w:pStyle w:val="ListBullet"/>
      </w:pPr>
      <w:r>
        <w:t xml:space="preserve">Pantau status transaksi sampai terminal melalui halaman Payment Status.</w:t>
      </w:r>
    </w:p>
    <w:p>
      <w:pPr>
        <w:pStyle w:val="Heading2"/>
      </w:pPr>
      <w:r>
        <w:t xml:space="preserve">11.4 e-Wallet</w:t>
      </w:r>
    </w:p>
    <w:p>
      <w:pPr>
        <w:pStyle w:val="Warning"/>
      </w:pPr>
      <w:r>
        <w:t xml:space="preserve">DANA, OVO, dan channel e-Wallet lain sengaja tidak ditampilkan. Backend saat ini baru mempunyai authorization return dan notification webhook, tetapi belum mempunyai endpoint create payment. Seluruh channel hasil seed harus tetap is_enabled=false sampai endpoint create transaksi selesai dibuat dan diuji.</w:t>
      </w:r>
    </w:p>
    <w:p>
      <w:pPr>
        <w:pStyle w:val="Heading2"/>
      </w:pPr>
      <w:r>
        <w:t xml:space="preserve">11.5 Arti status</w:t>
      </w:r>
    </w:p>
    <w:tbl>
      <w:tblPr>
        <w:tblW w:w="0" w:type="auto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9E2F3"/>
          <w:insideV w:val="single" w:sz="4" w:color="D9E2F3"/>
        </w:tblBorders>
      </w:tblPr>
      <w:tblGrid>
        <w:gridCol w:w="2300"/>
        <w:gridCol w:w="6800"/>
      </w:tblGrid>
      <w:tr>
        <w:tc>
          <w:tcPr>
            <w:tcW w:w="2300" w:type="dxa"/>
            <w:shd w:fill="17365D"/>
          </w:tcPr>
          <w:p>
            <w:r>
              <w:rPr>
                <w:color w:val="FFFFFF"/>
                <w:b/>
              </w:rPr>
              <w:t xml:space="preserve">Status</w:t>
            </w:r>
          </w:p>
        </w:tc>
        <w:tc>
          <w:tcPr>
            <w:tcW w:w="6800" w:type="dxa"/>
            <w:shd w:fill="17365D"/>
          </w:tcPr>
          <w:p>
            <w:r>
              <w:rPr>
                <w:color w:val="FFFFFF"/>
                <w:b/>
              </w:rPr>
              <w:t xml:space="preserve">Arti dan tindakan</w:t>
            </w:r>
          </w:p>
        </w:tc>
      </w:tr>
      <w:tr>
        <w:tc>
          <w:tcPr>
            <w:tcW w:w="2300" w:type="dxa"/>
          </w:tcPr>
          <w:p>
            <w:r>
              <w:rPr/>
              <w:t xml:space="preserve">created / pending</w:t>
            </w:r>
          </w:p>
        </w:tc>
        <w:tc>
          <w:tcPr>
            <w:tcW w:w="6800" w:type="dxa"/>
          </w:tcPr>
          <w:p>
            <w:r>
              <w:rPr/>
              <w:t xml:space="preserve">Transaksi sedang menunggu pembayaran atau verifikasi. Jangan membuat transaksi paralel.</w:t>
            </w:r>
          </w:p>
        </w:tc>
      </w:tr>
      <w:tr>
        <w:tc>
          <w:tcPr>
            <w:tcW w:w="2300" w:type="dxa"/>
          </w:tcPr>
          <w:p>
            <w:r>
              <w:rPr/>
              <w:t xml:space="preserve">success</w:t>
            </w:r>
          </w:p>
        </w:tc>
        <w:tc>
          <w:tcPr>
            <w:tcW w:w="6800" w:type="dxa"/>
          </w:tcPr>
          <w:p>
            <w:r>
              <w:rPr/>
              <w:t xml:space="preserve">Notification provider telah diverifikasi backend; invoice dapat dibuka.</w:t>
            </w:r>
          </w:p>
        </w:tc>
      </w:tr>
      <w:tr>
        <w:tc>
          <w:tcPr>
            <w:tcW w:w="2300" w:type="dxa"/>
          </w:tcPr>
          <w:p>
            <w:r>
              <w:rPr/>
              <w:t xml:space="preserve">failed</w:t>
            </w:r>
          </w:p>
        </w:tc>
        <w:tc>
          <w:tcPr>
            <w:tcW w:w="6800" w:type="dxa"/>
          </w:tcPr>
          <w:p>
            <w:r>
              <w:rPr/>
              <w:t xml:space="preserve">Transaksi gagal; pengguna dapat mencoba kembali.</w:t>
            </w:r>
          </w:p>
        </w:tc>
      </w:tr>
      <w:tr>
        <w:tc>
          <w:tcPr>
            <w:tcW w:w="2300" w:type="dxa"/>
          </w:tcPr>
          <w:p>
            <w:r>
              <w:rPr/>
              <w:t xml:space="preserve">expired</w:t>
            </w:r>
          </w:p>
        </w:tc>
        <w:tc>
          <w:tcPr>
            <w:tcW w:w="6800" w:type="dxa"/>
          </w:tcPr>
          <w:p>
            <w:r>
              <w:rPr/>
              <w:t xml:space="preserve">Waktu pembayaran habis; pengguna dapat membuat transaksi baru.</w:t>
            </w:r>
          </w:p>
        </w:tc>
      </w:tr>
    </w:tbl>
    <w:p>
      <w:pPr>
        <w:pStyle w:val="Warning"/>
      </w:pPr>
      <w:r>
        <w:t xml:space="preserve">Browser redirect bukan bukti pembayaran. Webhook/notification DOKU yang diverifikasi backend adalah sumber kebenaran.</w:t>
      </w:r>
    </w:p>
    <w:p>
      <w:pPr>
        <w:pStyle w:val="Heading1"/>
        <w:pageBreakBefore/>
      </w:pPr>
      <w:r>
        <w:t xml:space="preserve">12. Fungsi Organizer</w:t>
      </w:r>
    </w:p>
    <w:p>
      <w:pPr>
        <w:pStyle w:val="ListBullet"/>
      </w:pPr>
      <w:r>
        <w:t xml:space="preserve">Login menggunakan akun Organizer.</w:t>
      </w:r>
    </w:p>
    <w:p>
      <w:pPr>
        <w:pStyle w:val="ListBullet"/>
      </w:pPr>
      <w:r>
        <w:t xml:space="preserve">Dashboard menampilkan akses Organizer View bagi role admin/organizer.</w:t>
      </w:r>
    </w:p>
    <w:p>
      <w:pPr>
        <w:pStyle w:val="ListBullet"/>
      </w:pPr>
      <w:r>
        <w:t xml:space="preserve">Buka /admin/reports untuk laporan ticket sales dan revenue.</w:t>
      </w:r>
    </w:p>
    <w:p>
      <w:pPr>
        <w:pStyle w:val="ListBullet"/>
      </w:pPr>
      <w:r>
        <w:t xml:space="preserve">Gunakan filter event, package, status, channel, dan tanggal yang tersedia pada halaman laporan.</w:t>
      </w:r>
    </w:p>
    <w:p>
      <w:pPr>
        <w:pStyle w:val="ListBullet"/>
      </w:pPr>
      <w:r>
        <w:t xml:space="preserve">Unduh CSV melalui fungsi export laporan ketika diperlukan.</w:t>
      </w:r>
    </w:p>
    <w:p>
      <w:pPr>
        <w:pStyle w:val="ListBullet"/>
      </w:pPr>
      <w:r>
        <w:t xml:space="preserve">Halaman admin dilindungi middleware autentikasi dan pemeriksaan role.</w:t>
      </w:r>
    </w:p>
    <w:p>
      <w:pPr>
        <w:pStyle w:val="Heading1"/>
      </w:pPr>
      <w:r>
        <w:t xml:space="preserve">13. Skenario smoke test</w:t>
      </w:r>
    </w:p>
    <w:tbl>
      <w:tblPr>
        <w:tblW w:w="0" w:type="auto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9E2F3"/>
          <w:insideV w:val="single" w:sz="4" w:color="D9E2F3"/>
        </w:tblBorders>
      </w:tblPr>
      <w:tblGrid>
        <w:gridCol w:w="700"/>
        <w:gridCol w:w="3100"/>
        <w:gridCol w:w="5200"/>
      </w:tblGrid>
      <w:tr>
        <w:tc>
          <w:tcPr>
            <w:tcW w:w="700" w:type="dxa"/>
            <w:shd w:fill="17365D"/>
          </w:tcPr>
          <w:p>
            <w:r>
              <w:rPr>
                <w:color w:val="FFFFFF"/>
                <w:b/>
              </w:rPr>
              <w:t xml:space="preserve">No.</w:t>
            </w:r>
          </w:p>
        </w:tc>
        <w:tc>
          <w:tcPr>
            <w:tcW w:w="3100" w:type="dxa"/>
            <w:shd w:fill="17365D"/>
          </w:tcPr>
          <w:p>
            <w:r>
              <w:rPr>
                <w:color w:val="FFFFFF"/>
                <w:b/>
              </w:rPr>
              <w:t xml:space="preserve">Skenario</w:t>
            </w:r>
          </w:p>
        </w:tc>
        <w:tc>
          <w:tcPr>
            <w:tcW w:w="5200" w:type="dxa"/>
            <w:shd w:fill="17365D"/>
          </w:tcPr>
          <w:p>
            <w:r>
              <w:rPr>
                <w:color w:val="FFFFFF"/>
                <w:b/>
              </w:rPr>
              <w:t xml:space="preserve">Hasil yang diharapkan</w:t>
            </w:r>
          </w:p>
        </w:tc>
      </w:tr>
      <w:tr>
        <w:tc>
          <w:tcPr>
            <w:tcW w:w="700" w:type="dxa"/>
          </w:tcPr>
          <w:p>
            <w:r>
              <w:rPr/>
              <w:t xml:space="preserve">1</w:t>
            </w:r>
          </w:p>
        </w:tc>
        <w:tc>
          <w:tcPr>
            <w:tcW w:w="3100" w:type="dxa"/>
          </w:tcPr>
          <w:p>
            <w:r>
              <w:rPr/>
              <w:t xml:space="preserve">Login Delegate</w:t>
            </w:r>
          </w:p>
        </w:tc>
        <w:tc>
          <w:tcPr>
            <w:tcW w:w="5200" w:type="dxa"/>
          </w:tcPr>
          <w:p>
            <w:r>
              <w:rPr/>
              <w:t xml:space="preserve">Dashboard participant tampil tanpa error 401.</w:t>
            </w:r>
          </w:p>
        </w:tc>
      </w:tr>
      <w:tr>
        <w:tc>
          <w:tcPr>
            <w:tcW w:w="700" w:type="dxa"/>
          </w:tcPr>
          <w:p>
            <w:r>
              <w:rPr/>
              <w:t xml:space="preserve">2</w:t>
            </w:r>
          </w:p>
        </w:tc>
        <w:tc>
          <w:tcPr>
            <w:tcW w:w="3100" w:type="dxa"/>
          </w:tcPr>
          <w:p>
            <w:r>
              <w:rPr/>
              <w:t xml:space="preserve">Buka Payment</w:t>
            </w:r>
          </w:p>
        </w:tc>
        <w:tc>
          <w:tcPr>
            <w:tcW w:w="5200" w:type="dxa"/>
          </w:tcPr>
          <w:p>
            <w:r>
              <w:rPr/>
              <w:t xml:space="preserve">Hanya VA, QRIS, atau Direct Debit yang benar-benar aktif yang tampil; e-Wallet tidak tampil.</w:t>
            </w:r>
          </w:p>
        </w:tc>
      </w:tr>
      <w:tr>
        <w:tc>
          <w:tcPr>
            <w:tcW w:w="700" w:type="dxa"/>
          </w:tcPr>
          <w:p>
            <w:r>
              <w:rPr/>
              <w:t xml:space="preserve">3</w:t>
            </w:r>
          </w:p>
        </w:tc>
        <w:tc>
          <w:tcPr>
            <w:tcW w:w="3100" w:type="dxa"/>
          </w:tcPr>
          <w:p>
            <w:r>
              <w:rPr/>
              <w:t xml:space="preserve">Buat transaksi VA</w:t>
            </w:r>
          </w:p>
        </w:tc>
        <w:tc>
          <w:tcPr>
            <w:tcW w:w="5200" w:type="dxa"/>
          </w:tcPr>
          <w:p>
            <w:r>
              <w:rPr/>
              <w:t xml:space="preserve">Nomor VA, nominal, dan expiry berasal dari backend.</w:t>
            </w:r>
          </w:p>
        </w:tc>
      </w:tr>
      <w:tr>
        <w:tc>
          <w:tcPr>
            <w:tcW w:w="700" w:type="dxa"/>
          </w:tcPr>
          <w:p>
            <w:r>
              <w:rPr/>
              <w:t xml:space="preserve">4</w:t>
            </w:r>
          </w:p>
        </w:tc>
        <w:tc>
          <w:tcPr>
            <w:tcW w:w="3100" w:type="dxa"/>
          </w:tcPr>
          <w:p>
            <w:r>
              <w:rPr/>
              <w:t xml:space="preserve">Buat QRIS</w:t>
            </w:r>
          </w:p>
        </w:tc>
        <w:tc>
          <w:tcPr>
            <w:tcW w:w="5200" w:type="dxa"/>
          </w:tcPr>
          <w:p>
            <w:r>
              <w:rPr/>
              <w:t xml:space="preserve">QR dapat dipindai dan payment_id tersimpan.</w:t>
            </w:r>
          </w:p>
        </w:tc>
      </w:tr>
      <w:tr>
        <w:tc>
          <w:tcPr>
            <w:tcW w:w="700" w:type="dxa"/>
          </w:tcPr>
          <w:p>
            <w:r>
              <w:rPr/>
              <w:t xml:space="preserve">5</w:t>
            </w:r>
          </w:p>
        </w:tc>
        <w:tc>
          <w:tcPr>
            <w:tcW w:w="3100" w:type="dxa"/>
          </w:tcPr>
          <w:p>
            <w:r>
              <w:rPr/>
              <w:t xml:space="preserve">Direct Debit</w:t>
            </w:r>
          </w:p>
        </w:tc>
        <w:tc>
          <w:tcPr>
            <w:tcW w:w="5200" w:type="dxa"/>
          </w:tcPr>
          <w:p>
            <w:r>
              <w:rPr/>
              <w:t xml:space="preserve">Binding, redirect/OTP, create payment, dan polling berjalan sesuai response bank.</w:t>
            </w:r>
          </w:p>
        </w:tc>
      </w:tr>
      <w:tr>
        <w:tc>
          <w:tcPr>
            <w:tcW w:w="700" w:type="dxa"/>
          </w:tcPr>
          <w:p>
            <w:r>
              <w:rPr/>
              <w:t xml:space="preserve">6</w:t>
            </w:r>
          </w:p>
        </w:tc>
        <w:tc>
          <w:tcPr>
            <w:tcW w:w="3100" w:type="dxa"/>
          </w:tcPr>
          <w:p>
            <w:r>
              <w:rPr/>
              <w:t xml:space="preserve">Selesaikan pembayaran sandbox</w:t>
            </w:r>
          </w:p>
        </w:tc>
        <w:tc>
          <w:tcPr>
            <w:tcW w:w="5200" w:type="dxa"/>
          </w:tcPr>
          <w:p>
            <w:r>
              <w:rPr/>
              <w:t xml:space="preserve">Payment berubah success dan registration menjadi paid setelah webhook.</w:t>
            </w:r>
          </w:p>
        </w:tc>
      </w:tr>
      <w:tr>
        <w:tc>
          <w:tcPr>
            <w:tcW w:w="700" w:type="dxa"/>
          </w:tcPr>
          <w:p>
            <w:r>
              <w:rPr/>
              <w:t xml:space="preserve">7</w:t>
            </w:r>
          </w:p>
        </w:tc>
        <w:tc>
          <w:tcPr>
            <w:tcW w:w="3100" w:type="dxa"/>
          </w:tcPr>
          <w:p>
            <w:r>
              <w:rPr/>
              <w:t xml:space="preserve">Refresh status</w:t>
            </w:r>
          </w:p>
        </w:tc>
        <w:tc>
          <w:tcPr>
            <w:tcW w:w="5200" w:type="dxa"/>
          </w:tcPr>
          <w:p>
            <w:r>
              <w:rPr/>
              <w:t xml:space="preserve">Refresh tidak membuat order baru.</w:t>
            </w:r>
          </w:p>
        </w:tc>
      </w:tr>
      <w:tr>
        <w:tc>
          <w:tcPr>
            <w:tcW w:w="700" w:type="dxa"/>
          </w:tcPr>
          <w:p>
            <w:r>
              <w:rPr/>
              <w:t xml:space="preserve">8</w:t>
            </w:r>
          </w:p>
        </w:tc>
        <w:tc>
          <w:tcPr>
            <w:tcW w:w="3100" w:type="dxa"/>
          </w:tcPr>
          <w:p>
            <w:r>
              <w:rPr/>
              <w:t xml:space="preserve">Buka Invoice/Ticket</w:t>
            </w:r>
          </w:p>
        </w:tc>
        <w:tc>
          <w:tcPr>
            <w:tcW w:w="5200" w:type="dxa"/>
          </w:tcPr>
          <w:p>
            <w:r>
              <w:rPr/>
              <w:t xml:space="preserve">Dokumen muncul sesuai status registrasi dari backend.</w:t>
            </w:r>
          </w:p>
        </w:tc>
      </w:tr>
      <w:tr>
        <w:tc>
          <w:tcPr>
            <w:tcW w:w="700" w:type="dxa"/>
          </w:tcPr>
          <w:p>
            <w:r>
              <w:rPr/>
              <w:t xml:space="preserve">9</w:t>
            </w:r>
          </w:p>
        </w:tc>
        <w:tc>
          <w:tcPr>
            <w:tcW w:w="3100" w:type="dxa"/>
          </w:tcPr>
          <w:p>
            <w:r>
              <w:rPr/>
              <w:t xml:space="preserve">Login Organizer</w:t>
            </w:r>
          </w:p>
        </w:tc>
        <w:tc>
          <w:tcPr>
            <w:tcW w:w="5200" w:type="dxa"/>
          </w:tcPr>
          <w:p>
            <w:r>
              <w:rPr/>
              <w:t xml:space="preserve">Organizer dapat membuka laporan penjualan.</w:t>
            </w:r>
          </w:p>
        </w:tc>
      </w:tr>
      <w:tr>
        <w:tc>
          <w:tcPr>
            <w:tcW w:w="700" w:type="dxa"/>
          </w:tcPr>
          <w:p>
            <w:r>
              <w:rPr/>
              <w:t xml:space="preserve">10</w:t>
            </w:r>
          </w:p>
        </w:tc>
        <w:tc>
          <w:tcPr>
            <w:tcW w:w="3100" w:type="dxa"/>
          </w:tcPr>
          <w:p>
            <w:r>
              <w:rPr/>
              <w:t xml:space="preserve">Logout/token kedaluwarsa</w:t>
            </w:r>
          </w:p>
        </w:tc>
        <w:tc>
          <w:tcPr>
            <w:tcW w:w="5200" w:type="dxa"/>
          </w:tcPr>
          <w:p>
            <w:r>
              <w:rPr/>
              <w:t xml:space="preserve">Token dibersihkan dan pengguna kembali ke login bila refresh gagal.</w:t>
            </w:r>
          </w:p>
        </w:tc>
      </w:tr>
    </w:tbl>
    <w:p>
      <w:pPr>
        <w:pStyle w:val="Heading1"/>
        <w:pageBreakBefore/>
      </w:pPr>
      <w:r>
        <w:t xml:space="preserve">14. Troubleshooting</w:t>
      </w:r>
    </w:p>
    <w:tbl>
      <w:tblPr>
        <w:tblW w:w="0" w:type="auto"/>
        <w:tblBorders>
          <w:top w:val="single" w:sz="4" w:color="B8C4CE"/>
          <w:left w:val="single" w:sz="4" w:color="B8C4CE"/>
          <w:bottom w:val="single" w:sz="4" w:color="B8C4CE"/>
          <w:right w:val="single" w:sz="4" w:color="B8C4CE"/>
          <w:insideH w:val="single" w:sz="4" w:color="D9E2F3"/>
          <w:insideV w:val="single" w:sz="4" w:color="D9E2F3"/>
        </w:tblBorders>
      </w:tblPr>
      <w:tblGrid>
        <w:gridCol w:w="2800"/>
        <w:gridCol w:w="6300"/>
      </w:tblGrid>
      <w:tr>
        <w:tc>
          <w:tcPr>
            <w:tcW w:w="2800" w:type="dxa"/>
            <w:shd w:fill="17365D"/>
          </w:tcPr>
          <w:p>
            <w:r>
              <w:rPr>
                <w:color w:val="FFFFFF"/>
                <w:b/>
              </w:rPr>
              <w:t xml:space="preserve">Masalah</w:t>
            </w:r>
          </w:p>
        </w:tc>
        <w:tc>
          <w:tcPr>
            <w:tcW w:w="6300" w:type="dxa"/>
            <w:shd w:fill="17365D"/>
          </w:tcPr>
          <w:p>
            <w:r>
              <w:rPr>
                <w:color w:val="FFFFFF"/>
                <w:b/>
              </w:rPr>
              <w:t xml:space="preserve">Pemeriksaan dan solusi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Frontend tidak dapat mengambil data</w:t>
            </w:r>
          </w:p>
        </w:tc>
        <w:tc>
          <w:tcPr>
            <w:tcW w:w="6300" w:type="dxa"/>
          </w:tcPr>
          <w:p>
            <w:r>
              <w:rPr/>
              <w:t xml:space="preserve">Periksa NUXT_PUBLIC_API_BASE_URL, backend, CORS, HTTPS mixed-content, dan tab Network browser.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401 Unauthorized</w:t>
            </w:r>
          </w:p>
        </w:tc>
        <w:tc>
          <w:tcPr>
            <w:tcW w:w="6300" w:type="dxa"/>
          </w:tcPr>
          <w:p>
            <w:r>
              <w:rPr/>
              <w:t xml:space="preserve">Login ulang; periksa access/refresh token dan waktu server.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Metode pembayaran kosong</w:t>
            </w:r>
          </w:p>
        </w:tc>
        <w:tc>
          <w:tcPr>
            <w:tcW w:w="6300" w:type="dxa"/>
          </w:tcPr>
          <w:p>
            <w:r>
              <w:rPr/>
              <w:t xml:space="preserve">Pastikan channel sudah dikonfigurasi dan is_enabled=true hanya untuk endpoint yang siap.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DANA/OVO tidak tampil</w:t>
            </w:r>
          </w:p>
        </w:tc>
        <w:tc>
          <w:tcPr>
            <w:tcW w:w="6300" w:type="dxa"/>
          </w:tcPr>
          <w:p>
            <w:r>
              <w:rPr/>
              <w:t xml:space="preserve">Ini perilaku yang benar sampai backend mempunyai endpoint create e-Wallet.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Status tetap pending</w:t>
            </w:r>
          </w:p>
        </w:tc>
        <w:tc>
          <w:tcPr>
            <w:tcW w:w="6300" w:type="dxa"/>
          </w:tcPr>
          <w:p>
            <w:r>
              <w:rPr/>
              <w:t xml:space="preserve">Periksa DOKU notification URL, signature verification, log backend, dan request_id.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npm.ps1 diblokir</w:t>
            </w:r>
          </w:p>
        </w:tc>
        <w:tc>
          <w:tcPr>
            <w:tcW w:w="6300" w:type="dxa"/>
          </w:tcPr>
          <w:p>
            <w:r>
              <w:rPr/>
              <w:t xml:space="preserve">Gunakan npm.cmd run dev atau npm.cmd run build pada Windows.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Port 3000 digunakan</w:t>
            </w:r>
          </w:p>
        </w:tc>
        <w:tc>
          <w:tcPr>
            <w:tcW w:w="6300" w:type="dxa"/>
          </w:tcPr>
          <w:p>
            <w:r>
              <w:rPr/>
              <w:t xml:space="preserve">Tentukan port lain melalui konfigurasi Nuxt/Nitro atau hentikan proses yang memakai port tersebut.</w:t>
            </w:r>
          </w:p>
        </w:tc>
      </w:tr>
      <w:tr>
        <w:tc>
          <w:tcPr>
            <w:tcW w:w="2800" w:type="dxa"/>
          </w:tcPr>
          <w:p>
            <w:r>
              <w:rPr/>
              <w:t xml:space="preserve">Build gagal</w:t>
            </w:r>
          </w:p>
        </w:tc>
        <w:tc>
          <w:tcPr>
            <w:tcW w:w="6300" w:type="dxa"/>
          </w:tcPr>
          <w:p>
            <w:r>
              <w:rPr/>
              <w:t xml:space="preserve">Hapus hanya cache build yang aman bila diperlukan, instal ulang dependensi, lalu baca error pertama pada output build.</w:t>
            </w:r>
          </w:p>
        </w:tc>
      </w:tr>
    </w:tbl>
    <w:p>
      <w:pPr>
        <w:pStyle w:val="Heading1"/>
      </w:pPr>
      <w:r>
        <w:t xml:space="preserve">15. Checklist deployment production</w:t>
      </w:r>
    </w:p>
    <w:p>
      <w:pPr>
        <w:pStyle w:val="ListBullet"/>
      </w:pPr>
      <w:r>
        <w:t xml:space="preserve">Set API base URL dan site URL production.</w:t>
      </w:r>
    </w:p>
    <w:p>
      <w:pPr>
        <w:pStyle w:val="ListBullet"/>
      </w:pPr>
      <w:r>
        <w:t xml:space="preserve">Pastikan HTTPS, CORS, callback, dan notification URL sesuai domain production.</w:t>
      </w:r>
    </w:p>
    <w:p>
      <w:pPr>
        <w:pStyle w:val="ListBullet"/>
      </w:pPr>
      <w:r>
        <w:t xml:space="preserve">Jangan masukkan credential DOKU/backend ke bundle frontend.</w:t>
      </w:r>
    </w:p>
    <w:p>
      <w:pPr>
        <w:pStyle w:val="ListBullet"/>
      </w:pPr>
      <w:r>
        <w:t xml:space="preserve">Jalankan npm run build dan pastikan selesai tanpa error.</w:t>
      </w:r>
    </w:p>
    <w:p>
      <w:pPr>
        <w:pStyle w:val="ListBullet"/>
      </w:pPr>
      <w:r>
        <w:t xml:space="preserve">Uji login, registrasi, pembayaran, polling, invoice, tiket, dan laporan organizer.</w:t>
      </w:r>
    </w:p>
    <w:p>
      <w:pPr>
        <w:pStyle w:val="ListBullet"/>
      </w:pPr>
      <w:r>
        <w:t xml:space="preserve">Pastikan e-Wallet tetap nonaktif sampai endpoint create payment tersedia dan lulus pengujian.</w:t>
      </w:r>
    </w:p>
    <w:p>
      <w:pPr>
        <w:pStyle w:val="ListBullet"/>
      </w:pPr>
      <w:r>
        <w:t xml:space="preserve">Ganti/nonaktifkan kredensial demo sebelum go-live.</w:t>
      </w:r>
    </w:p>
    <w:p>
      <w:pPr>
        <w:pStyle w:val="Caption"/>
      </w:pPr>
      <w:r>
        <w:t xml:space="preserve">â€” Akhir dokumen â€”</w:t>
      </w:r>
    </w:p>
    <w:sectPr>
      <w:pgSz w:w="11906" w:h="16838"/>
      <w:pgMar w:top="1134" w:right="1134" w:bottom="1134" w:left="1134"/>
      <w:pgNumType w:start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  <w:color w:val="243447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jc w:val="center"/>
      <w:spacing w:before="1800" w:after="300"/>
    </w:pPr>
    <w:rPr>
      <w:b/>
      <w:color w:val="0B2748"/>
      <w:sz w:val="44"/>
    </w:rPr>
  </w:style>
  <w:style w:type="paragraph" w:styleId="Subtitle">
    <w:name w:val="Subtitle"/>
    <w:pPr>
      <w:jc w:val="center"/>
      <w:spacing w:after="240"/>
    </w:pPr>
    <w:rPr>
      <w:color w:val="49657D"/>
      <w:sz w:val="25"/>
    </w:rPr>
  </w:style>
  <w:style w:type="paragraph" w:styleId="Heading1">
    <w:name w:val="heading 1"/>
    <w:pPr>
      <w:keepNext/>
      <w:spacing w:before="360" w:after="180"/>
      <w:outlineLvl w:val="0"/>
    </w:pPr>
    <w:rPr>
      <w:b/>
      <w:color w:val="0B5D75"/>
      <w:sz w:val="30"/>
    </w:rPr>
  </w:style>
  <w:style w:type="paragraph" w:styleId="Heading2">
    <w:name w:val="heading 2"/>
    <w:pPr>
      <w:keepNext/>
      <w:spacing w:before="240" w:after="120"/>
      <w:outlineLvl w:val="1"/>
    </w:pPr>
    <w:rPr>
      <w:b/>
      <w:color w:val="17365D"/>
      <w:sz w:val="25"/>
    </w:rPr>
  </w:style>
  <w:style w:type="paragraph" w:styleId="ListBullet">
    <w:name w:val="List Bullet"/>
    <w:pPr>
      <w:ind w:left="540" w:hanging="280"/>
    </w:pPr>
    <w:rPr/>
  </w:style>
  <w:style w:type="paragraph" w:styleId="Code">
    <w:name w:val="Code"/>
    <w:pPr>
      <w:shd w:fill="EEF2F5"/>
      <w:ind w:left="240"/>
      <w:spacing w:before="100" w:after="140"/>
    </w:pPr>
    <w:rPr>
      <w:rFonts w:ascii="Consolas" w:hAnsi="Consolas"/>
      <w:sz w:val="19"/>
    </w:rPr>
  </w:style>
  <w:style w:type="paragraph" w:styleId="Warning">
    <w:name w:val="Warning"/>
    <w:pPr>
      <w:shd w:fill="FFF2CC"/>
      <w:ind w:left="240" w:right="240"/>
      <w:spacing w:before="140" w:after="180"/>
    </w:pPr>
    <w:rPr>
      <w:b/>
      <w:color w:val="7F6000"/>
    </w:rPr>
  </w:style>
  <w:style w:type="paragraph" w:styleId="Caption">
    <w:name w:val="Caption"/>
    <w:pPr>
      <w:jc w:val="center"/>
    </w:pPr>
    <w:rPr>
      <w:i/>
      <w:color w:val="6B7280"/>
      <w:sz w:val="18"/>
    </w:rPr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Panduan Fungsional Frontend IWBIF 2026</dc:title>
  <dc:subject>Instalasi dan pengoperasian frontend</dc:subject>
  <dc:creator>IWBIF 2026</dc:creator>
  <dcterms:created xsi:type="dcterms:W3CDTF">2026-08-17T00:00:00Z</dcterms:created>
</cp:coreProperties>
</file>