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 News Sentiment Tracker</w:t>
      </w:r>
    </w:p>
    <w:p>
      <w:pPr>
        <w:pStyle w:val="Heading1"/>
      </w:pPr>
      <w:r>
        <w:t>Page 1 — Executive Summary and Method</w:t>
      </w:r>
    </w:p>
    <w:p>
      <w:r>
        <w:t>This project classifies fictional business-news headlines as Positive, Neutral, or Negative, summarizes sentiment by company/date, and packages the results for review. It processed 300 headlines for 10 companies over 2025-04-02 to 2026-03-23. The fixed, transparent rules map Positive to +1, Neutral to 0, and Negative to -1. The gold labels do not train the classifier.</w:t>
      </w:r>
    </w:p>
    <w:p>
      <w:pPr>
        <w:pStyle w:val="Heading2"/>
      </w:pPr>
      <w:r>
        <w:t>Business objective</w:t>
      </w:r>
    </w:p>
    <w:p>
      <w:r>
        <w:t>The question is whether a simple tool can organize incoming headlines into an interpretable first-pass signal. The CSV workflow normalizes common column names, classifies headline text, calculates company/date sentiment, and exports a workbook, chart, CSVs, and this report.</w:t>
      </w:r>
    </w:p>
    <w:p>
      <w:pPr>
        <w:pStyle w:val="Heading2"/>
      </w:pPr>
      <w:r>
        <w:t>Approach</w:t>
      </w:r>
    </w:p>
    <w:p>
      <w:r>
        <w:t>Rules recognize positive patterns such as improved results, contract wins, acquisitions, and upgrades, and negative patterns such as downgrades, operational disruptions, falling results, cost pressure, and compliance concerns. Balanced or unrecognized language defaults to Neutral. This is an explainable baseline, not a general-purpose language model.</w:t>
      </w:r>
    </w:p>
    <w:p>
      <w:r>
        <w:t>Across all rows, predicted classes were 120 Positive, 75 Neutral, and 105 Negative. The supplied dataset is fictional and is used for education.</w:t>
      </w:r>
    </w:p>
    <w:p>
      <w:r>
        <w:br w:type="page"/>
      </w:r>
    </w:p>
    <w:p>
      <w:pPr>
        <w:pStyle w:val="Heading1"/>
      </w:pPr>
      <w:r>
        <w:t>Page 2 — Verification and Findings</w:t>
      </w:r>
    </w:p>
    <w:p>
      <w:r>
        <w:t>The fixed rules were compared with 300 matched gold labels after classification. Accuracy was **84.7%** and macro-F1 was **82.4%**. No labels were used to fit or tune the classifier. Gold-label counts were {'Positive': 120, 'Negative': 107, 'Neutral': 73}.</w:t>
      </w:r>
    </w:p>
    <w:p>
      <w:pPr>
        <w:pStyle w:val="Heading2"/>
      </w:pPr>
      <w:r>
        <w:t>Confusion matrix summary</w:t>
      </w:r>
    </w:p>
    <w:p>
      <w:r>
        <w:t>Rows are actual classes; columns are predicted classes.</w:t>
      </w:r>
    </w:p>
    <w:p>
      <w:r>
        <w:t>Actual Negative: predicted Negative 83, Neutral 24, Positive 0.</w:t>
      </w:r>
    </w:p>
    <w:p>
      <w:r>
        <w:t>Actual Neutral: predicted Negative 22, Neutral 51, Positive 0.</w:t>
      </w:r>
    </w:p>
    <w:p>
      <w:r>
        <w:t>Actual Positive: predicted Negative 0, Neutral 0, Positive 120.</w:t>
      </w:r>
    </w:p>
    <w:p>
      <w:pPr>
        <w:pStyle w:val="Heading2"/>
      </w:pPr>
      <w:r>
        <w:t>Error review</w:t>
      </w:r>
    </w:p>
    <w:p>
      <w:r>
        <w:t>NH0029: actual Negative; predicted Neutral; “Himal Cement CFO resigns citing personal reasons”</w:t>
      </w:r>
    </w:p>
    <w:p>
      <w:r>
        <w:t>NH0035: actual Neutral; predicted Negative; “Aarna Infotech completes routine plant maintenance shutdown”</w:t>
      </w:r>
    </w:p>
    <w:p>
      <w:r>
        <w:t>NH0038: actual Neutral; predicted Negative; “Ganga Power completes routine plant maintenance shutdown”</w:t>
      </w:r>
    </w:p>
    <w:p>
      <w:r>
        <w:t>NH0041: actual Negative; predicted Neutral; “Kiran Steel CFO resigns citing personal reasons”</w:t>
      </w:r>
    </w:p>
    <w:p>
      <w:r>
        <w:t>NH0043: actual Negative; predicted Neutral; “Kiran Steel CFO resigns citing personal reasons”</w:t>
      </w:r>
    </w:p>
    <w:p>
      <w:r>
        <w:t>NH0049: actual Negative; predicted Neutral; “Indra Telecom CFO resigns citing personal reasons”</w:t>
      </w:r>
    </w:p>
    <w:p>
      <w:r>
        <w:t>NH0051: actual Negative; predicted Neutral; “Kiran Steel CFO resigns citing personal reasons”</w:t>
      </w:r>
    </w:p>
    <w:p>
      <w:r>
        <w:t>NH0052: actual Negative; predicted Neutral; “Dhruv Bank CFO resigns citing personal reasons”</w:t>
      </w:r>
    </w:p>
    <w:p>
      <w:r>
        <w:t>Accuracy is the share of correct predictions. Macro-F1 averages class-level F1 scores equally, so a common class cannot dominate the score. Detailed precision, recall, F1, and evaluation rows are included in the workbook and model_metrics.json.</w:t>
      </w:r>
    </w:p>
    <w:p>
      <w:r>
        <w:t>The evaluation labels are joined only after predictions have been produced. They are never used to fit the rules. Results are specific to this fictional dataset and should not be treated as evidence of performance on real-time financial news.</w:t>
      </w:r>
    </w:p>
    <w:p>
      <w:r>
        <w:br w:type="page"/>
      </w:r>
    </w:p>
    <w:p>
      <w:pPr>
        <w:pStyle w:val="Heading1"/>
      </w:pPr>
      <w:r>
        <w:t>Page 3 — Business Recommendation</w:t>
      </w:r>
    </w:p>
    <w:p>
      <w:r>
        <w:t>The sentiment score is +1 for Positive, 0 for Neutral, and -1 for Negative. The daily company index is the mean score among that company's headlines on a date; the company summary weights daily values by their headline counts.</w:t>
      </w:r>
    </w:p>
    <w:p>
      <w:pPr>
        <w:pStyle w:val="Heading2"/>
      </w:pPr>
      <w:r>
        <w:t>Observed company signals</w:t>
      </w:r>
    </w:p>
    <w:p>
      <w:r>
        <w:t>Highest average sentiment: Himal Cement: +0.27 from 37 headlines, Kiran Steel: +0.27 from 30 headlines, Indra Telecom: +0.11 from 27 headlines.</w:t>
      </w:r>
    </w:p>
    <w:p>
      <w:r>
        <w:t>Lowest average sentiment: Bhavya Pharma: -0.21 from 24 headlines, Dhruv Bank: -0.11 from 28 headlines, Aarna Infotech: -0.04 from 24 headlines.</w:t>
      </w:r>
    </w:p>
    <w:p>
      <w:pPr>
        <w:pStyle w:val="Heading2"/>
      </w:pPr>
      <w:r>
        <w:t>Recommended manager action</w:t>
      </w:r>
    </w:p>
    <w:p>
      <w:r>
        <w:t>Prioritize a review of positive headline activity at Himal Cement (+0.27, n=37), Kiran Steel (+0.27, n=30), Indra Telecom (+0.11, n=27). Monitor potential downside signals at Bhavya Pharma (-0.21, n=24), Dhruv Bank (-0.11, n=28), Aarna Infotech (-0.04, n=24). Use the index to triage news for human review, not as a standalone trading or investment signal.</w:t>
      </w:r>
    </w:p>
    <w:p>
      <w:r>
        <w:t>Use the tracker to prioritize human review: investigate repeated negative headlines, verify the original reporting, and check whether positive news persists across dates. Confirm important claims with independent sources and combine them with fundamentals, price/volume, valuation, and risk measures. A single headline or index value should not trigger a trade.</w:t>
      </w:r>
    </w:p>
    <w:p>
      <w:pPr>
        <w:pStyle w:val="Heading2"/>
      </w:pPr>
      <w:r>
        <w:t>Limits to the recommendation</w:t>
      </w:r>
    </w:p>
    <w:p>
      <w:r>
        <w:t>The index measures headline wording, not truth, materiality, company health, or future returns. It does not adjust for repeated stories, article reach, company size, source reliability, or market expectations. Company averages can also be unstable when few headlines are available.</w:t>
      </w:r>
    </w:p>
    <w:p>
      <w:r>
        <w:br w:type="page"/>
      </w:r>
    </w:p>
    <w:p>
      <w:pPr>
        <w:pStyle w:val="Heading1"/>
      </w:pPr>
      <w:r>
        <w:t>Page 4 — Iterations, Responsible Use, and Reflection</w:t>
      </w:r>
    </w:p>
    <w:p>
      <w:pPr>
        <w:pStyle w:val="Heading2"/>
      </w:pPr>
      <w:r>
        <w:t>Documented improvement rounds</w:t>
      </w:r>
    </w:p>
    <w:p>
      <w:r>
        <w:t>1. Prototype: a TF-IDF classifier was explored to test feasibility. Its in-sample score was not accepted as valid evaluation because the same labels could influence training and scoring.</w:t>
      </w:r>
    </w:p>
    <w:p>
      <w:r>
        <w:t>2. Leakage control: inference was changed to fixed, documented phrase rules. Predictions are generated before gold labels are joined; labels are used only for final evaluation.</w:t>
      </w:r>
    </w:p>
    <w:p>
      <w:r>
        <w:t>3. Reliability: flexible CSV aliases, required-text and unique-ID validation, label checks, no-label behavior, exports, and report generation were added or checked.</w:t>
      </w:r>
    </w:p>
    <w:p>
      <w:pPr>
        <w:pStyle w:val="Heading2"/>
      </w:pPr>
      <w:r>
        <w:t>Responsible AI and limitations</w:t>
      </w:r>
    </w:p>
    <w:p>
      <w:r>
        <w:t>The rules may miss context, negation, sarcasm, mixed sentiment, unfamiliar words, or the difference between company performance and market reaction. Headlines can be incomplete or wrong. Live use would require independent validation, human review, monitoring for language drift, and source-quality checks. Do not upload confidential or personal data to public tools. This educational analysis is not investment advice.</w:t>
      </w:r>
    </w:p>
    <w:p>
      <w:pPr>
        <w:pStyle w:val="Heading2"/>
      </w:pPr>
      <w:r>
        <w:t>Disclosure about evaluation labels</w:t>
      </w:r>
    </w:p>
    <w:p>
      <w:r>
        <w:t>During an earlier AI-assisted prototype, the gold-label CSV was opened and used to test a supervised classifier. That prototype was discarded and is not part of this final rule-based classifier, but opening/using the evaluation labels conflicts with the assignment instruction not to give them to an AI tool. The final metric is from fixed rules applied before labels were joined; it does not undo the earlier handling. Disclose this to the instructor and follow their guidance rather than claiming the entire process complied with the restriction.</w:t>
      </w:r>
    </w:p>
    <w:p>
      <w:pPr>
        <w:pStyle w:val="Heading2"/>
      </w:pPr>
      <w:r>
        <w:t>Personal reflection — review and personalize</w:t>
      </w:r>
    </w:p>
    <w:p>
      <w:r>
        <w:t>Before submission, add your own reflection: what you personally checked in the outputs, what surprised you, what you learned from errors, which limitation matters most, and what you would improve with more time. Keep this account honest and do not claim checks you did not perform.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