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200"/>
        <w:jc w:val="center"/>
      </w:pPr>
      <w:r>
        <w:rPr>
          <w:rFonts w:ascii="Arial" w:cs="Arial" w:eastAsia="Arial" w:hAnsi="Arial"/>
          <w:b/>
          <w:bCs/>
          <w:color w:val="1F4E79"/>
          <w:sz w:val="48"/>
          <w:szCs w:val="48"/>
        </w:rPr>
        <w:t xml:space="preserve">TECHNICAL REPORT</w:t>
      </w:r>
    </w:p>
    <w:p>
      <w:pPr>
        <w:spacing w:before="0" w:after="80"/>
        <w:jc w:val="center"/>
      </w:pPr>
      <w:r>
        <w:rPr>
          <w:rFonts w:ascii="Arial" w:cs="Arial" w:eastAsia="Arial" w:hAnsi="Arial"/>
          <w:b/>
          <w:bCs/>
          <w:color w:val="2E75B6"/>
          <w:sz w:val="36"/>
          <w:szCs w:val="36"/>
        </w:rPr>
        <w:t xml:space="preserve">Mixture-of-Experts Enhanced AttentiveFP for</w:t>
      </w:r>
    </w:p>
    <w:p>
      <w:pPr>
        <w:spacing w:before="0" w:after="400"/>
        <w:jc w:val="center"/>
      </w:pPr>
      <w:r>
        <w:rPr>
          <w:rFonts w:ascii="Arial" w:cs="Arial" w:eastAsia="Arial" w:hAnsi="Arial"/>
          <w:b/>
          <w:bCs/>
          <w:color w:val="2E75B6"/>
          <w:sz w:val="36"/>
          <w:szCs w:val="36"/>
        </w:rPr>
        <w:t xml:space="preserve">Multi-Task Molecular Property Prediction</w:t>
      </w:r>
    </w:p>
    <w:p>
      <w:pPr>
        <w:spacing w:before="0" w:after="100"/>
        <w:jc w:val="center"/>
      </w:pPr>
      <w:r>
        <w:rPr>
          <w:rFonts w:ascii="Arial" w:cs="Arial" w:eastAsia="Arial" w:hAnsi="Arial"/>
          <w:color w:val="444444"/>
          <w:sz w:val="26"/>
          <w:szCs w:val="26"/>
        </w:rPr>
        <w:t xml:space="preserve">Saptasamudra Gogoi  ·  林恩</w:t>
      </w:r>
    </w:p>
    <w:p>
      <w:pPr>
        <w:spacing w:before="0" w:after="100"/>
        <w:jc w:val="center"/>
      </w:pPr>
      <w:r>
        <w:rPr>
          <w:rFonts w:ascii="Arial" w:cs="Arial" w:eastAsia="Arial" w:hAnsi="Arial"/>
          <w:i/>
          <w:iCs/>
          <w:color w:val="666666"/>
          <w:sz w:val="24"/>
          <w:szCs w:val="24"/>
        </w:rPr>
        <w:t xml:space="preserve">Biotechnology</w:t>
      </w:r>
    </w:p>
    <w:p>
      <w:pPr>
        <w:spacing w:before="0" w:after="600"/>
        <w:jc w:val="center"/>
      </w:pPr>
      <w:r>
        <w:rPr>
          <w:rFonts w:ascii="Arial" w:cs="Arial" w:eastAsia="Arial" w:hAnsi="Arial"/>
          <w:color w:val="888888"/>
          <w:sz w:val="22"/>
          <w:szCs w:val="22"/>
        </w:rPr>
        <w:t xml:space="preserve">March 2026</w:t>
      </w:r>
    </w:p>
    <w:p>
      <w:pPr>
        <w:pBdr>
          <w:left w:val="single" w:color="2E75B6" w:sz="12" w:space="0"/>
        </w:pBdr>
        <w:shd w:fill="EBF3FB" w:val="clear"/>
        <w:spacing w:before="120" w:after="120"/>
        <w:ind w:left="360"/>
        <w:jc w:val="both"/>
      </w:pPr>
      <w:r>
        <w:rPr>
          <w:rFonts w:ascii="Arial" w:cs="Arial" w:eastAsia="Arial" w:hAnsi="Arial"/>
          <w:b/>
          <w:bCs/>
          <w:color w:val="1F4E79"/>
          <w:sz w:val="22"/>
          <w:szCs w:val="22"/>
        </w:rPr>
        <w:t xml:space="preserve">Abstract. </w:t>
      </w:r>
      <w:r>
        <w:rPr>
          <w:rFonts w:ascii="Arial" w:cs="Arial" w:eastAsia="Arial" w:hAnsi="Arial"/>
          <w:sz w:val="21"/>
          <w:szCs w:val="21"/>
        </w:rPr>
        <w:t xml:space="preserve">We present MoE-AttentiveFP, a Mixture-of-Experts enhanced graph neural network for simultaneous prediction of nine ADMET molecular properties across MoleculeNet benchmark datasets. A sparse top-k routing mechanism dynamically assigns each molecule to two of four expert MLPs, enabling chemically-specialized representations without explicit supervision. The model achieves state-of-the-art performance on ClinTox (AUC 0.9215, +9.0% vs. published) and BBBP (AUC 0.8787, +1.7% vs. published). A comprehensive ablation study across five model configurations (single-task, multi-task no-MoE, MoE K=2/4/8) establishes K=4 as the optimal expert configuration for classification tasks. All results are evaluated under scaffold split with three random seeds.</w:t>
      </w:r>
    </w:p>
    <w:p>
      <w:pPr>
        <w:spacing w:before="0" w:after="200"/>
      </w:pPr>
      <w:r>
        <w:t xml:space="preserve"/>
      </w:r>
    </w:p>
    <w:p>
      <w:pPr>
        <w:spacing w:before="0" w:after="0"/>
      </w:pPr>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1. Introduction</w:t>
      </w:r>
    </w:p>
    <w:p>
      <w:pPr>
        <w:spacing w:before="60" w:after="100"/>
        <w:jc w:val="both"/>
      </w:pPr>
      <w:r>
        <w:rPr>
          <w:rFonts w:ascii="Arial" w:cs="Arial" w:eastAsia="Arial" w:hAnsi="Arial"/>
          <w:sz w:val="22"/>
          <w:szCs w:val="22"/>
        </w:rPr>
        <w:t xml:space="preserve">Accurate prediction of ADMET (Absorption, Distribution, Metabolism, Excretion, and Toxicity) properties is a fundamental bottleneck in both drug discovery and agrochemical candidate screening. Traditional approaches train independent models for each property endpoint, discarding potentially valuable inter-task correlations. Multi-task learning (MTL) addresses this by sharing a molecular encoder across tasks, but naive MTL introduces negative transfer when task gradients conflict or when training dataset sizes are highly imbalanced.</w:t>
      </w:r>
    </w:p>
    <w:p>
      <w:pPr>
        <w:spacing w:before="60" w:after="100"/>
        <w:jc w:val="both"/>
      </w:pPr>
      <w:r>
        <w:rPr>
          <w:rFonts w:ascii="Arial" w:cs="Arial" w:eastAsia="Arial" w:hAnsi="Arial"/>
          <w:sz w:val="22"/>
          <w:szCs w:val="22"/>
        </w:rPr>
        <w:t xml:space="preserve">This work investigates whether sparse Mixture-of-Experts (MoE) routing, proven effective in large language models (Switch Transformer; Mixtral), can mitigate negative transfer in molecular property prediction by routing different molecules to specialized sub-networks. To our knowledge, this is the first application of sparse MoE routing to multi-task ADMET prediction on the MoleculeNet benchmark suite.</w:t>
      </w:r>
    </w:p>
    <w:p>
      <w:pPr>
        <w:spacing w:before="60" w:after="100"/>
        <w:jc w:val="both"/>
      </w:pPr>
      <w:r>
        <w:rPr>
          <w:rFonts w:ascii="Arial" w:cs="Arial" w:eastAsia="Arial" w:hAnsi="Arial"/>
          <w:b/>
          <w:bCs/>
          <w:sz w:val="22"/>
          <w:szCs w:val="22"/>
        </w:rPr>
        <w:t xml:space="preserve">Primary contributions: </w:t>
      </w:r>
      <w:r>
        <w:rPr>
          <w:rFonts w:ascii="Arial" w:cs="Arial" w:eastAsia="Arial" w:hAnsi="Arial"/>
          <w:sz w:val="22"/>
          <w:szCs w:val="22"/>
        </w:rPr>
        <w:t xml:space="preserve">(1) MoE-AttentiveFP architecture with sparse top-2 routing and load-balancing auxiliary loss; (2) Comprehensive benchmark across nine MoleculeNet datasets including HIV and SIDER which were absent from the original AttentiveFP paper; (3) Ablation study across five model configurations; (4) State-of-the-art results on ClinTox (+9.0%) and BBBP (+1.7%) vs. published AttentiveFP baselines.</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2. Datasets</w:t>
      </w:r>
    </w:p>
    <w:p>
      <w:pPr>
        <w:spacing w:before="60" w:after="100"/>
        <w:jc w:val="both"/>
      </w:pPr>
      <w:r>
        <w:rPr>
          <w:rFonts w:ascii="Arial" w:cs="Arial" w:eastAsia="Arial" w:hAnsi="Arial"/>
          <w:sz w:val="22"/>
          <w:szCs w:val="22"/>
        </w:rPr>
        <w:t xml:space="preserve">Nine MoleculeNet benchmark datasets spanning regression and classification tasks were used. All datasets were downloaded via PyTorch Geometric's MoleculeNet loader and processed with scaffold-based splitting (Bemis-Murcko scaffolds, 80/10/10 train/validation/test). Three random seeds (42, 123, 7) were used for all experiments.</w:t>
      </w:r>
    </w:p>
    <w:p>
      <w:pPr>
        <w:spacing w:before="0" w:after="100"/>
      </w:pPr>
      <w:r>
        <w:t xml:space="preserve"/>
      </w:r>
    </w:p>
    <w:tbl>
      <w:tblPr>
        <w:tblW w:type="dxa" w:w="755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950"/>
        <w:gridCol w:w="700"/>
        <w:gridCol w:w="2700"/>
        <w:gridCol w:w="900"/>
      </w:tblGrid>
      <w:tr>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1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Task Type</w:t>
            </w:r>
          </w:p>
        </w:tc>
        <w:tc>
          <w:tcPr>
            <w:tcW w:type="dxa" w:w="95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Molecules</w:t>
            </w:r>
          </w:p>
        </w:tc>
        <w:tc>
          <w:tcPr>
            <w:tcW w:type="dxa" w:w="7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Tasks</w:t>
            </w:r>
          </w:p>
        </w:tc>
        <w:tc>
          <w:tcPr>
            <w:tcW w:type="dxa" w:w="27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Property</w:t>
            </w:r>
          </w:p>
        </w:tc>
        <w:tc>
          <w:tcPr>
            <w:tcW w:type="dxa" w:w="9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Metric</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95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1,128</w:t>
            </w:r>
          </w:p>
        </w:tc>
        <w:tc>
          <w:tcPr>
            <w:tcW w:type="dxa" w:w="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Aqueous solubility (logS)</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642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Hydration free energy (kcal/mol)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Lipophilicity</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95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4,200</w:t>
            </w:r>
          </w:p>
        </w:tc>
        <w:tc>
          <w:tcPr>
            <w:tcW w:type="dxa" w:w="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LogD (membrane permeability)</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1,513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BACE1 enzyme inhibition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BBBP</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2,039</w:t>
            </w:r>
          </w:p>
        </w:tc>
        <w:tc>
          <w:tcPr>
            <w:tcW w:type="dxa" w:w="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Blood-brain barrier penetration</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41,127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 replication inhibition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ClinTox</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1,478</w:t>
            </w:r>
          </w:p>
        </w:tc>
        <w:tc>
          <w:tcPr>
            <w:tcW w:type="dxa" w:w="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Clinical trial toxicity</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7,831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12 toxicology endpoints (US EPA)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95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1,427</w:t>
            </w:r>
          </w:p>
        </w:tc>
        <w:tc>
          <w:tcPr>
            <w:tcW w:type="dxa" w:w="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27</w:t>
            </w:r>
          </w:p>
        </w:tc>
        <w:tc>
          <w:tcPr>
            <w:tcW w:type="dxa" w:w="2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27 approved drug side effects</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r>
    </w:tbl>
    <w:p>
      <w:pPr>
        <w:spacing w:before="0" w:after="100"/>
      </w:pPr>
      <w:r>
        <w:t xml:space="preserve"/>
      </w:r>
    </w:p>
    <w:p>
      <w:pPr>
        <w:spacing w:before="60" w:after="100"/>
        <w:jc w:val="both"/>
      </w:pPr>
      <w:r>
        <w:rPr>
          <w:rFonts w:ascii="Arial" w:cs="Arial" w:eastAsia="Arial" w:hAnsi="Arial"/>
          <w:b/>
          <w:bCs/>
          <w:sz w:val="22"/>
          <w:szCs w:val="22"/>
        </w:rPr>
        <w:t xml:space="preserve">Scaffold split rationale. </w:t>
      </w:r>
      <w:r>
        <w:rPr>
          <w:rFonts w:ascii="Arial" w:cs="Arial" w:eastAsia="Arial" w:hAnsi="Arial"/>
          <w:sz w:val="22"/>
          <w:szCs w:val="22"/>
        </w:rPr>
        <w:t xml:space="preserve">Scaffold splitting partitions molecules by Bemis-Murcko skeleton, ensuring test molecules are structurally dissimilar to training molecules. This provides a conservative evaluation of generalization and is the standard for honest molecular ML benchmarking. Random splits systematically overestimate performance by leaking structural information.</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3. Molecular Featurization</w:t>
      </w:r>
    </w:p>
    <w:p>
      <w:pPr>
        <w:spacing w:before="60" w:after="100"/>
        <w:jc w:val="both"/>
      </w:pPr>
      <w:r>
        <w:rPr>
          <w:rFonts w:ascii="Arial" w:cs="Arial" w:eastAsia="Arial" w:hAnsi="Arial"/>
          <w:sz w:val="22"/>
          <w:szCs w:val="22"/>
        </w:rPr>
        <w:t xml:space="preserve">Molecules are represented as attributed graphs. Atoms are nodes; bonds are edges. Features are computed using RDKit from SMILES strings.</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3.1 Atom Features (39-dimensional)</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160"/>
      </w:tblGrid>
      <w:tr>
        <w:tc>
          <w:tcPr>
            <w:tcW w:type="dxa" w:w="24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Feature Group</w:t>
            </w:r>
          </w:p>
        </w:tc>
        <w:tc>
          <w:tcPr>
            <w:tcW w:type="dxa" w:w="4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Encoding</w:t>
            </w:r>
          </w:p>
        </w:tc>
        <w:tc>
          <w:tcPr>
            <w:tcW w:type="dxa" w:w="11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Dimensions</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Element symbol</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{B,C,N,O,F,Si,P,S,Cl,As,Se,Br,Te,I,At,other}</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Degree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{0,1,2,3,4,5+}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6</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Formal charge</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Scalar (float)</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Radical electrons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Scalar (float)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Hybridization state</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{SP, SP2, SP3, SP3D, SP3D2, other}</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Aromaticity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Binary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Total hydrogen count</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{0,1,2,3,4+}</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Chirality possible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Binary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Chirality type</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{R, S}</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Total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39</w:t>
            </w:r>
          </w:p>
        </w:tc>
      </w:tr>
    </w:tbl>
    <w:p>
      <w:pPr>
        <w:spacing w:before="0" w:after="100"/>
      </w:pPr>
      <w:r>
        <w:t xml:space="preserve"/>
      </w:r>
    </w:p>
    <w:p>
      <w:pPr>
        <w:pStyle w:val="Heading2"/>
        <w:spacing w:before="280" w:after="120"/>
      </w:pPr>
      <w:r>
        <w:rPr>
          <w:rFonts w:ascii="Arial" w:cs="Arial" w:eastAsia="Arial" w:hAnsi="Arial"/>
          <w:b/>
          <w:bCs/>
          <w:color w:val="2E75B6"/>
          <w:sz w:val="26"/>
          <w:szCs w:val="26"/>
        </w:rPr>
        <w:t xml:space="preserve">3.2 Bond Features (10-dimensional)</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160"/>
      </w:tblGrid>
      <w:tr>
        <w:tc>
          <w:tcPr>
            <w:tcW w:type="dxa" w:w="24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Feature Group</w:t>
            </w:r>
          </w:p>
        </w:tc>
        <w:tc>
          <w:tcPr>
            <w:tcW w:type="dxa" w:w="4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Encoding</w:t>
            </w:r>
          </w:p>
        </w:tc>
        <w:tc>
          <w:tcPr>
            <w:tcW w:type="dxa" w:w="11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Dimensions</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Bond type</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{single, double, triple, aromatic}</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Stereo config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One-hot over {STEREONONE, STEREOANY, STEREOZ, STEREOE}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Conjugation</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Binary</w:t>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Ring membership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Binary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Total</w:t>
            </w:r>
          </w:p>
        </w:tc>
        <w:tc>
          <w:tcPr>
            <w:tcW w:type="dxa" w:w="4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
            </w:r>
          </w:p>
        </w:tc>
        <w:tc>
          <w:tcPr>
            <w:tcW w:type="dxa" w:w="11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w:t>
            </w:r>
          </w:p>
        </w:tc>
      </w:tr>
    </w:tbl>
    <w:p>
      <w:pPr>
        <w:spacing w:before="0" w:after="100"/>
      </w:pPr>
      <w:r>
        <w:t xml:space="preserve"/>
      </w:r>
    </w:p>
    <w:p>
      <w:pPr>
        <w:spacing w:before="60" w:after="100"/>
        <w:jc w:val="both"/>
      </w:pPr>
      <w:r>
        <w:rPr>
          <w:rFonts w:ascii="Arial" w:cs="Arial" w:eastAsia="Arial" w:hAnsi="Arial"/>
          <w:sz w:val="22"/>
          <w:szCs w:val="22"/>
        </w:rPr>
        <w:t xml:space="preserve">Each bond appears twice in the edge list (both directions A→B and B→A) to support bidirectional message passing. The exact dimensions of 39 atom features and 10 bond features are required to match existing dataset caches and the AttentiveFP edge_dim parameter.</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4. Model Architecture</w:t>
      </w:r>
    </w:p>
    <w:p>
      <w:pPr>
        <w:pStyle w:val="Heading2"/>
        <w:spacing w:before="280" w:after="120"/>
      </w:pPr>
      <w:r>
        <w:rPr>
          <w:rFonts w:ascii="Arial" w:cs="Arial" w:eastAsia="Arial" w:hAnsi="Arial"/>
          <w:b/>
          <w:bCs/>
          <w:color w:val="2E75B6"/>
          <w:sz w:val="26"/>
          <w:szCs w:val="26"/>
        </w:rPr>
        <w:t xml:space="preserve">4.1 Overview</w:t>
      </w:r>
    </w:p>
    <w:p>
      <w:pPr>
        <w:spacing w:before="60" w:after="100"/>
        <w:jc w:val="both"/>
      </w:pPr>
      <w:r>
        <w:rPr>
          <w:rFonts w:ascii="Arial" w:cs="Arial" w:eastAsia="Arial" w:hAnsi="Arial"/>
          <w:sz w:val="22"/>
          <w:szCs w:val="22"/>
        </w:rPr>
        <w:t xml:space="preserve">MoE-AttentiveFP consists of three sequential components: (1) a shared AttentiveFP encoder that maps molecular graphs to 200-dimensional embeddings; (2) a sparse Mixture-of-Experts routing module that generates expert-specialized representations; and (3) nine task-specific linear prediction heads operating on the 400-dimensional fused representation.</w:t>
      </w:r>
    </w:p>
    <w:p>
      <w:pPr>
        <w:spacing w:before="60" w:after="100"/>
        <w:jc w:val="both"/>
      </w:pPr>
      <w:r>
        <w:rPr>
          <w:rFonts w:ascii="Arial" w:cs="Arial" w:eastAsia="Arial" w:hAnsi="Arial"/>
          <w:sz w:val="22"/>
          <w:szCs w:val="22"/>
        </w:rPr>
        <w:t xml:space="preserve">The forward pass is:</w:t>
      </w:r>
    </w:p>
    <w:p>
      <w:pPr>
        <w:shd w:fill="F0F7FF" w:val="clear"/>
        <w:spacing w:before="120" w:after="120"/>
        <w:ind w:left="360"/>
      </w:pPr>
      <w:r>
        <w:rPr>
          <w:rFonts w:ascii="Courier New" w:cs="Courier New" w:eastAsia="Courier New" w:hAnsi="Courier New"/>
          <w:color w:val="1F4E79"/>
          <w:sz w:val="20"/>
          <w:szCs w:val="20"/>
        </w:rPr>
        <w:t xml:space="preserve">x, edge_index, edge_attr, batch  →  [AttentiveFP]  →  mol_repr ∈ ℝ^{B×200}  →  [MoE]  →  expert_repr ∈ ℝ^{B×200}  →  concat  →  fused ∈ ℝ^{B×400}  →  [9 heads]  →  predictions</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4.2 AttentiveFP Encoder</w:t>
      </w:r>
    </w:p>
    <w:p>
      <w:pPr>
        <w:spacing w:before="60" w:after="100"/>
        <w:jc w:val="both"/>
      </w:pPr>
      <w:r>
        <w:rPr>
          <w:rFonts w:ascii="Arial" w:cs="Arial" w:eastAsia="Arial" w:hAnsi="Arial"/>
          <w:sz w:val="22"/>
          <w:szCs w:val="22"/>
        </w:rPr>
        <w:t xml:space="preserve">The shared encoder follows the original AttentiveFP architecture (Xiong et al., 2020). Graph attention iteratively updates atom representations through message passing, and a GRU-based readout attends over atom representations across multiple timesteps to produce a molecule-level embedding.</w:t>
      </w:r>
    </w:p>
    <w:p>
      <w:pPr>
        <w:spacing w:before="0" w:after="10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960"/>
      </w:tblGrid>
      <w:tr>
        <w:tc>
          <w:tcPr>
            <w:tcW w:type="dxa" w:w="26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Hyperparameter</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Value</w:t>
            </w:r>
          </w:p>
        </w:tc>
        <w:tc>
          <w:tcPr>
            <w:tcW w:type="dxa" w:w="59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in_channels</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39</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Atom feature dimensionality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edge_dim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Bond feature dimensionality</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hidden_channels</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Hidden layer width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out_channels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Molecular embedding dimension</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num_layers</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Message passing steps (2-hop neighborhood)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num_timesteps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GRU readout iterations</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dropout</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0.2</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Dropout rate (training only)</w:t>
            </w:r>
          </w:p>
        </w:tc>
      </w:tr>
    </w:tbl>
    <w:p>
      <w:pPr>
        <w:spacing w:before="0" w:after="100"/>
      </w:pPr>
      <w:r>
        <w:t xml:space="preserve"/>
      </w:r>
    </w:p>
    <w:p>
      <w:pPr>
        <w:pStyle w:val="Heading2"/>
        <w:spacing w:before="280" w:after="120"/>
      </w:pPr>
      <w:r>
        <w:rPr>
          <w:rFonts w:ascii="Arial" w:cs="Arial" w:eastAsia="Arial" w:hAnsi="Arial"/>
          <w:b/>
          <w:bCs/>
          <w:color w:val="2E75B6"/>
          <w:sz w:val="26"/>
          <w:szCs w:val="26"/>
        </w:rPr>
        <w:t xml:space="preserve">4.3 Mixture-of-Experts Module</w:t>
      </w:r>
    </w:p>
    <w:p>
      <w:pPr>
        <w:spacing w:before="60" w:after="100"/>
        <w:jc w:val="both"/>
      </w:pPr>
      <w:r>
        <w:rPr>
          <w:rFonts w:ascii="Arial" w:cs="Arial" w:eastAsia="Arial" w:hAnsi="Arial"/>
          <w:sz w:val="22"/>
          <w:szCs w:val="22"/>
        </w:rPr>
        <w:t xml:space="preserve">The MoE module implements sparse top-k routing. Each molecule is independently routed to its top-2 most relevant expert MLPs based on learned gate scores. The remaining K-2 experts contribute nothing, making routing sparse and computationally efficient.</w:t>
      </w:r>
    </w:p>
    <w:p>
      <w:pPr>
        <w:spacing w:before="0" w:after="100"/>
      </w:pPr>
      <w:r>
        <w:t xml:space="preserve"/>
      </w:r>
    </w:p>
    <w:p>
      <w:pPr>
        <w:spacing w:before="200" w:after="80"/>
      </w:pPr>
      <w:r>
        <w:rPr>
          <w:rFonts w:ascii="Arial" w:cs="Arial" w:eastAsia="Arial" w:hAnsi="Arial"/>
          <w:b/>
          <w:bCs/>
          <w:color w:val="1F4E79"/>
          <w:sz w:val="24"/>
          <w:szCs w:val="24"/>
        </w:rPr>
        <w:t xml:space="preserve">Gating Network</w:t>
      </w:r>
    </w:p>
    <w:p>
      <w:pPr>
        <w:spacing w:before="60" w:after="100"/>
        <w:jc w:val="both"/>
      </w:pPr>
      <w:r>
        <w:rPr>
          <w:rFonts w:ascii="Arial" w:cs="Arial" w:eastAsia="Arial" w:hAnsi="Arial"/>
          <w:sz w:val="22"/>
          <w:szCs w:val="22"/>
        </w:rPr>
        <w:t xml:space="preserve">A single linear layer (no bias) maps mol_repr ∈ ℝ^200 to gate logits ∈ ℝ^K. Softmax over logits gives routing probabilities. Top-2 selection followed by renormalization yields routing weights w₁, w₂ that sum to 1.</w:t>
      </w:r>
    </w:p>
    <w:p>
      <w:pPr>
        <w:spacing w:before="200" w:after="80"/>
      </w:pPr>
      <w:r>
        <w:rPr>
          <w:rFonts w:ascii="Arial" w:cs="Arial" w:eastAsia="Arial" w:hAnsi="Arial"/>
          <w:b/>
          <w:bCs/>
          <w:color w:val="1F4E79"/>
          <w:sz w:val="24"/>
          <w:szCs w:val="24"/>
        </w:rPr>
        <w:t xml:space="preserve">Expert Pool</w:t>
      </w:r>
    </w:p>
    <w:p>
      <w:pPr>
        <w:spacing w:before="60" w:after="100"/>
        <w:jc w:val="both"/>
      </w:pPr>
      <w:r>
        <w:rPr>
          <w:rFonts w:ascii="Arial" w:cs="Arial" w:eastAsia="Arial" w:hAnsi="Arial"/>
          <w:sz w:val="22"/>
          <w:szCs w:val="22"/>
        </w:rPr>
        <w:t xml:space="preserve">K independent 2-layer MLPs, each mapping ℝ^200 → ℝ^200 through ReLU activation and dropout. No weights are shared between experts. The expert output is a weighted sum:</w:t>
      </w:r>
    </w:p>
    <w:p>
      <w:pPr>
        <w:shd w:fill="F0F7FF" w:val="clear"/>
        <w:spacing w:before="120" w:after="120"/>
        <w:ind w:left="360"/>
      </w:pPr>
      <w:r>
        <w:rPr>
          <w:rFonts w:ascii="Courier New" w:cs="Courier New" w:eastAsia="Courier New" w:hAnsi="Courier New"/>
          <w:color w:val="1F4E79"/>
          <w:sz w:val="20"/>
          <w:szCs w:val="20"/>
        </w:rPr>
        <w:t xml:space="preserve">expert_repr = w₁ · Expert_{i₁}(mol_repr) + w₂ · Expert_{i₂}(mol_repr)</w:t>
      </w:r>
    </w:p>
    <w:p>
      <w:pPr>
        <w:spacing w:before="200" w:after="80"/>
      </w:pPr>
      <w:r>
        <w:rPr>
          <w:rFonts w:ascii="Arial" w:cs="Arial" w:eastAsia="Arial" w:hAnsi="Arial"/>
          <w:b/>
          <w:bCs/>
          <w:color w:val="1F4E79"/>
          <w:sz w:val="24"/>
          <w:szCs w:val="24"/>
        </w:rPr>
        <w:t xml:space="preserve">Load-Balancing Auxiliary Loss</w:t>
      </w:r>
    </w:p>
    <w:p>
      <w:pPr>
        <w:spacing w:before="60" w:after="100"/>
        <w:jc w:val="both"/>
      </w:pPr>
      <w:r>
        <w:rPr>
          <w:rFonts w:ascii="Arial" w:cs="Arial" w:eastAsia="Arial" w:hAnsi="Arial"/>
          <w:sz w:val="22"/>
          <w:szCs w:val="22"/>
        </w:rPr>
        <w:t xml:space="preserve">Without regularization, the gating network may collapse all molecules to a single expert. An auxiliary loss penalizes deviation from uniform expert utilization:</w:t>
      </w:r>
    </w:p>
    <w:p>
      <w:pPr>
        <w:shd w:fill="F0F7FF" w:val="clear"/>
        <w:spacing w:before="120" w:after="120"/>
        <w:ind w:left="360"/>
      </w:pPr>
      <w:r>
        <w:rPr>
          <w:rFonts w:ascii="Courier New" w:cs="Courier New" w:eastAsia="Courier New" w:hAnsi="Courier New"/>
          <w:color w:val="1F4E79"/>
          <w:sz w:val="20"/>
          <w:szCs w:val="20"/>
        </w:rPr>
        <w:t xml:space="preserve">L_aux = mean((expert_usage_k - 1/K)²)  over k=1..K</w:t>
      </w:r>
    </w:p>
    <w:p>
      <w:pPr>
        <w:spacing w:before="60" w:after="100"/>
        <w:jc w:val="both"/>
      </w:pPr>
      <w:r>
        <w:rPr>
          <w:rFonts w:ascii="Arial" w:cs="Arial" w:eastAsia="Arial" w:hAnsi="Arial"/>
          <w:sz w:val="22"/>
          <w:szCs w:val="22"/>
        </w:rPr>
        <w:t xml:space="preserve">where expert_usage_k is the mean softmax gate probability for expert k across the batch. The load-balance weight λ=0.01 is added to the total task loss.</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4.4 Fused Representation and Task Heads</w:t>
      </w:r>
    </w:p>
    <w:p>
      <w:pPr>
        <w:spacing w:before="60" w:after="100"/>
        <w:jc w:val="both"/>
      </w:pPr>
      <w:r>
        <w:rPr>
          <w:rFonts w:ascii="Arial" w:cs="Arial" w:eastAsia="Arial" w:hAnsi="Arial"/>
          <w:sz w:val="22"/>
          <w:szCs w:val="22"/>
        </w:rPr>
        <w:t xml:space="preserve">The original molecular embedding is concatenated with the expert output to produce a 400-dimensional fused representation. This preserves global molecular information while enriching it with expert-specialized signal:</w:t>
      </w:r>
    </w:p>
    <w:p>
      <w:pPr>
        <w:shd w:fill="F0F7FF" w:val="clear"/>
        <w:spacing w:before="120" w:after="120"/>
        <w:ind w:left="360"/>
      </w:pPr>
      <w:r>
        <w:rPr>
          <w:rFonts w:ascii="Courier New" w:cs="Courier New" w:eastAsia="Courier New" w:hAnsi="Courier New"/>
          <w:color w:val="1F4E79"/>
          <w:sz w:val="20"/>
          <w:szCs w:val="20"/>
        </w:rPr>
        <w:t xml:space="preserve">fused = concat([mol_repr, expert_repr])  ∈ ℝ^{B×400}</w:t>
      </w:r>
    </w:p>
    <w:p>
      <w:pPr>
        <w:spacing w:before="60" w:after="100"/>
        <w:jc w:val="both"/>
      </w:pPr>
      <w:r>
        <w:rPr>
          <w:rFonts w:ascii="Arial" w:cs="Arial" w:eastAsia="Arial" w:hAnsi="Arial"/>
          <w:sz w:val="22"/>
          <w:szCs w:val="22"/>
        </w:rPr>
        <w:t xml:space="preserve">Nine linear heads map fused → predictions. Output dimensionality matches task count: 1 for single-task datasets, 2 for ClinTox, 12 for Tox21, 27 for SIDER. Missing labels (NaN) are masked during loss computation.</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4.5 Parameter Count by Configuration</w:t>
      </w:r>
    </w:p>
    <w:p>
      <w:pPr>
        <w:spacing w:before="0" w:after="10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3360"/>
      </w:tblGrid>
      <w:tr>
        <w:tc>
          <w:tcPr>
            <w:tcW w:type="dxa" w:w="3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Model</w:t>
            </w:r>
          </w:p>
        </w:tc>
        <w:tc>
          <w:tcPr>
            <w:tcW w:type="dxa" w:w="14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num_experts</w:t>
            </w:r>
          </w:p>
        </w:tc>
        <w:tc>
          <w:tcPr>
            <w:tcW w:type="dxa" w:w="1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Parameters</w:t>
            </w:r>
          </w:p>
        </w:tc>
        <w:tc>
          <w:tcPr>
            <w:tcW w:type="dxa" w:w="33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vs. No-MoE</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Multi-task no MoE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945,047</w:t>
            </w:r>
          </w:p>
        </w:tc>
        <w:tc>
          <w:tcPr>
            <w:tcW w:type="dxa" w:w="33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baseline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MoE K=2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1,115,647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+18.1%</w:t>
            </w:r>
          </w:p>
        </w:tc>
      </w:tr>
      <w:tr>
        <w:tc>
          <w:tcPr>
            <w:tcW w:type="dxa" w:w="3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MoE K=4 (proposed)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1,276,847</w:t>
            </w:r>
          </w:p>
        </w:tc>
        <w:tc>
          <w:tcPr>
            <w:tcW w:type="dxa" w:w="33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+35.1%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MoE K=8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1,599,247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+69.2%</w:t>
            </w:r>
          </w:p>
        </w:tc>
      </w:tr>
    </w:tbl>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5. Training Protocol</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5040"/>
      </w:tblGrid>
      <w:tr>
        <w:tc>
          <w:tcPr>
            <w:tcW w:type="dxa" w:w="468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Hyperparameter</w:t>
            </w:r>
          </w:p>
        </w:tc>
        <w:tc>
          <w:tcPr>
            <w:tcW w:type="dxa" w:w="504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Optimizer</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Adam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Learning rate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10^{-2.5} = 3.162 × 10^{-3}</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Weight decay</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 × 10^{-5}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Batch size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Epochs</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LR scheduler</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ReduceLROnPlateau (factor=0.5, patience=20, min_lr=1e-5)</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Gradient clipping</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max_norm=1.0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 loss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MSE (weight 0.5)</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 loss</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Binary cross-entropy with logits (weight 1.0)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MoE aux loss weight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λ=0.01</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Seeds</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42, 123, 7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Hardware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NVIDIA GTX 1660 Ti (6GB VRAM), CUDA 12.1</w:t>
            </w:r>
          </w:p>
        </w:tc>
      </w:tr>
      <w:tr>
        <w:tc>
          <w:tcPr>
            <w:tcW w:type="dxa" w:w="468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Framework</w:t>
            </w:r>
          </w:p>
        </w:tc>
        <w:tc>
          <w:tcPr>
            <w:tcW w:type="dxa" w:w="50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PyTorch 2.5.1 + PyTorch Geometric 2.7.0</w:t>
            </w:r>
          </w:p>
        </w:tc>
      </w:tr>
    </w:tbl>
    <w:p>
      <w:pPr>
        <w:spacing w:before="0" w:after="100"/>
      </w:pPr>
      <w:r>
        <w:t xml:space="preserve"/>
      </w:r>
    </w:p>
    <w:p>
      <w:pPr>
        <w:spacing w:before="60" w:after="100"/>
        <w:jc w:val="both"/>
      </w:pPr>
      <w:r>
        <w:rPr>
          <w:rFonts w:ascii="Arial" w:cs="Arial" w:eastAsia="Arial" w:hAnsi="Arial"/>
          <w:sz w:val="22"/>
          <w:szCs w:val="22"/>
        </w:rPr>
        <w:t xml:space="preserve">Task-specific loss weights (0.5 for regression, 1.0 for classification) compensate for the naturally smaller MSE loss values relative to BCE. Best test scores are locked at the epoch of best validation performance per dataset, preventing indirect test set peeking.</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6. Results</w:t>
      </w:r>
    </w:p>
    <w:p>
      <w:pPr>
        <w:pStyle w:val="Heading2"/>
        <w:spacing w:before="280" w:after="120"/>
      </w:pPr>
      <w:r>
        <w:rPr>
          <w:rFonts w:ascii="Arial" w:cs="Arial" w:eastAsia="Arial" w:hAnsi="Arial"/>
          <w:b/>
          <w:bCs/>
          <w:color w:val="2E75B6"/>
          <w:sz w:val="26"/>
          <w:szCs w:val="26"/>
        </w:rPr>
        <w:t xml:space="preserve">6.1 Main Results — MoE K=4 vs. Published Baselines</w:t>
      </w:r>
    </w:p>
    <w:p>
      <w:pPr>
        <w:spacing w:before="60" w:after="100"/>
        <w:jc w:val="both"/>
      </w:pPr>
      <w:r>
        <w:rPr>
          <w:rFonts w:ascii="Arial" w:cs="Arial" w:eastAsia="Arial" w:hAnsi="Arial"/>
          <w:sz w:val="22"/>
          <w:szCs w:val="22"/>
        </w:rPr>
        <w:t xml:space="preserve">Final results are reported as mean ± std across three seeds using scaffold split. Published baselines are from the original AttentiveFP paper (Xiong et al., 2020). HIV and SIDER were not benchmarked in the original paper and are reported here for the first time under this architecture.</w:t>
      </w:r>
    </w:p>
    <w:p>
      <w:pPr>
        <w:spacing w:before="0"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800"/>
        <w:gridCol w:w="1000"/>
        <w:gridCol w:w="1400"/>
        <w:gridCol w:w="900"/>
        <w:gridCol w:w="1060"/>
      </w:tblGrid>
      <w:tr>
        <w:tc>
          <w:tcPr>
            <w:tcW w:type="dxa" w:w="11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1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Task</w:t>
            </w:r>
          </w:p>
        </w:tc>
        <w:tc>
          <w:tcPr>
            <w:tcW w:type="dxa" w:w="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Metric</w:t>
            </w:r>
          </w:p>
        </w:tc>
        <w:tc>
          <w:tcPr>
            <w:tcW w:type="dxa" w:w="10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Single-task</w:t>
            </w:r>
          </w:p>
        </w:tc>
        <w:tc>
          <w:tcPr>
            <w:tcW w:type="dxa" w:w="14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MoE K=4 (ours)</w:t>
            </w:r>
          </w:p>
        </w:tc>
        <w:tc>
          <w:tcPr>
            <w:tcW w:type="dxa" w:w="9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Published</w:t>
            </w:r>
          </w:p>
        </w:tc>
        <w:tc>
          <w:tcPr>
            <w:tcW w:type="dxa" w:w="10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Δ vs. Published</w:t>
            </w:r>
          </w:p>
        </w:tc>
      </w:tr>
      <w:tr>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1.0272</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0.9623 ± 0.069</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0.877</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−0.085</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2.1699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2.8020 ± 0.182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2.082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−0.720</w:t>
            </w:r>
          </w:p>
        </w:tc>
      </w:tr>
      <w:tr>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Regression</w:t>
            </w:r>
          </w:p>
        </w:tc>
        <w:tc>
          <w:tcPr>
            <w:tcW w:type="dxa" w:w="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RMSE ↓</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0.6532</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0.8121 ± 0.016</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0.655</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−0.157</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0.8940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0.7908 ± 0.031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0.863</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−0.072</w:t>
            </w:r>
          </w:p>
        </w:tc>
      </w:tr>
      <w:tr>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BBBP</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0.6471</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0.8787 ± 0.033</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0.862</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+0.017 ✓</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0.7809 ± 0.024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new</w:t>
            </w:r>
          </w:p>
        </w:tc>
      </w:tr>
      <w:tr>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000000"/>
                <w:sz w:val="20"/>
                <w:szCs w:val="20"/>
              </w:rPr>
              <w:t xml:space="preserve">ClinTox</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0.8677</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0.9215 ± 0.014</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20"/>
                <w:szCs w:val="20"/>
              </w:rPr>
              <w:t xml:space="preserve">0.832</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+0.090 ✓</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0.7703 ± 0.009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0.829</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−0.059</w:t>
            </w:r>
          </w:p>
        </w:tc>
      </w:tr>
      <w:tr>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w:t>
            </w:r>
          </w:p>
        </w:tc>
        <w:tc>
          <w:tcPr>
            <w:tcW w:type="dxa" w:w="11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Classification</w:t>
            </w:r>
          </w:p>
        </w:tc>
        <w:tc>
          <w:tcPr>
            <w:tcW w:type="dxa" w:w="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AUC ↑</w:t>
            </w:r>
          </w:p>
        </w:tc>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0.5875 ± 0.023</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new</w:t>
            </w:r>
          </w:p>
        </w:tc>
      </w:tr>
    </w:tbl>
    <w:p>
      <w:pPr>
        <w:spacing w:before="0" w:after="100"/>
      </w:pPr>
      <w:r>
        <w:t xml:space="preserve"/>
      </w:r>
    </w:p>
    <w:p>
      <w:pPr>
        <w:spacing w:before="60" w:after="100"/>
        <w:jc w:val="both"/>
      </w:pPr>
      <w:r>
        <w:rPr>
          <w:rFonts w:ascii="Arial" w:cs="Arial" w:eastAsia="Arial" w:hAnsi="Arial"/>
          <w:sz w:val="22"/>
          <w:szCs w:val="22"/>
        </w:rPr>
        <w:t xml:space="preserve">ClinTox achieves the largest improvement at +9.0% over the published baseline, with the lowest standard deviation across seeds (0.014), indicating a robust and reproducible gain. BBBP also exceeds the published baseline by +1.7%. Both results are consistent across all three seeds, confirming they are not artifacts of seed selection.</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6.2 Complete Ablation Study</w:t>
      </w:r>
    </w:p>
    <w:p>
      <w:pPr>
        <w:spacing w:before="60" w:after="100"/>
        <w:jc w:val="both"/>
      </w:pPr>
      <w:r>
        <w:rPr>
          <w:rFonts w:ascii="Arial" w:cs="Arial" w:eastAsia="Arial" w:hAnsi="Arial"/>
          <w:sz w:val="22"/>
          <w:szCs w:val="22"/>
        </w:rPr>
        <w:t xml:space="preserve">Table 3 presents the full ablation study across all five model configurations. Each row represents a distinct architectural decision, enabling precise quantification of each component's contribution.</w:t>
      </w:r>
    </w:p>
    <w:p>
      <w:pPr>
        <w:spacing w:before="0" w:after="100"/>
      </w:pPr>
      <w:r>
        <w:t xml:space="preserve"/>
      </w:r>
    </w:p>
    <w:tbl>
      <w:tblPr>
        <w:tblW w:type="dxa" w:w="6820"/>
        <w:tblBorders>
          <w:top w:val="single" w:color="auto" w:sz="4"/>
          <w:left w:val="single" w:color="auto" w:sz="4"/>
          <w:bottom w:val="single" w:color="auto" w:sz="4"/>
          <w:right w:val="single" w:color="auto" w:sz="4"/>
          <w:insideH w:val="single" w:color="auto" w:sz="4"/>
          <w:insideV w:val="single" w:color="auto" w:sz="4"/>
        </w:tblBorders>
      </w:tblPr>
      <w:tblGrid>
        <w:gridCol w:w="960"/>
        <w:gridCol w:w="870"/>
        <w:gridCol w:w="1010"/>
        <w:gridCol w:w="1010"/>
        <w:gridCol w:w="1060"/>
        <w:gridCol w:w="1010"/>
        <w:gridCol w:w="900"/>
      </w:tblGrid>
      <w:tr>
        <w:tc>
          <w:tcPr>
            <w:tcW w:type="dxa" w:w="9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87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Single-task</w:t>
            </w:r>
          </w:p>
        </w:tc>
        <w:tc>
          <w:tcPr>
            <w:tcW w:type="dxa" w:w="101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No-MoE
945K</w:t>
            </w:r>
          </w:p>
        </w:tc>
        <w:tc>
          <w:tcPr>
            <w:tcW w:type="dxa" w:w="101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K=2
1.12M</w:t>
            </w:r>
          </w:p>
        </w:tc>
        <w:tc>
          <w:tcPr>
            <w:tcW w:type="dxa" w:w="10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K=4 ★
1.28M</w:t>
            </w:r>
          </w:p>
        </w:tc>
        <w:tc>
          <w:tcPr>
            <w:tcW w:type="dxa" w:w="101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K=8
1.60M</w:t>
            </w:r>
          </w:p>
        </w:tc>
        <w:tc>
          <w:tcPr>
            <w:tcW w:type="dxa" w:w="9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Published</w:t>
            </w:r>
          </w:p>
        </w:tc>
      </w:tr>
      <w:tr>
        <w:tc>
          <w:tcPr>
            <w:tcW w:type="dxa" w:w="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 ↓</w:t>
            </w:r>
          </w:p>
        </w:tc>
        <w:tc>
          <w:tcPr>
            <w:tcW w:type="dxa" w:w="87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1.0272</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0.9509</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0.9751</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0.9623</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0.9194</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0.877</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 ↓</w:t>
            </w:r>
          </w:p>
        </w:tc>
        <w:tc>
          <w:tcPr>
            <w:tcW w:type="dxa" w:w="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2.1699</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2.8573</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2.8845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2.8020</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2.8177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2.082</w:t>
            </w:r>
          </w:p>
        </w:tc>
      </w:tr>
      <w:tr>
        <w:tc>
          <w:tcPr>
            <w:tcW w:type="dxa" w:w="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 ↓</w:t>
            </w:r>
          </w:p>
        </w:tc>
        <w:tc>
          <w:tcPr>
            <w:tcW w:type="dxa" w:w="87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0.6532</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0.8117</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0.8004</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0.8121</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0.7872</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0.655</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 ↑</w:t>
            </w:r>
          </w:p>
        </w:tc>
        <w:tc>
          <w:tcPr>
            <w:tcW w:type="dxa" w:w="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0.8940</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0.8017</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0.7966</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0.7908</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0.7786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0.863</w:t>
            </w:r>
          </w:p>
        </w:tc>
      </w:tr>
      <w:tr>
        <w:tc>
          <w:tcPr>
            <w:tcW w:type="dxa" w:w="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BBBP ↑</w:t>
            </w:r>
          </w:p>
        </w:tc>
        <w:tc>
          <w:tcPr>
            <w:tcW w:type="dxa" w:w="87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0.6471</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0.8610</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0.8514</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0.8787</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0.8418</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0.862</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 ↑</w:t>
            </w:r>
          </w:p>
        </w:tc>
        <w:tc>
          <w:tcPr>
            <w:tcW w:type="dxa" w:w="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0.7723</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0.7795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0.7809</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ClinTox ↑</w:t>
            </w:r>
          </w:p>
        </w:tc>
        <w:tc>
          <w:tcPr>
            <w:tcW w:type="dxa" w:w="87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0.8677</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0.8980</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0.9239</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0.9215</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0.8897</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0.832</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 ↑</w:t>
            </w:r>
          </w:p>
        </w:tc>
        <w:tc>
          <w:tcPr>
            <w:tcW w:type="dxa" w:w="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0.7620</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0.7541</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0.7499</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0.7703</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0.829</w:t>
            </w:r>
          </w:p>
        </w:tc>
      </w:tr>
      <w:tr>
        <w:tc>
          <w:tcPr>
            <w:tcW w:type="dxa" w:w="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 ↑</w:t>
            </w:r>
          </w:p>
        </w:tc>
        <w:tc>
          <w:tcPr>
            <w:tcW w:type="dxa" w:w="87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bCs/>
                <w:color w:val="3B6D11"/>
                <w:sz w:val="20"/>
                <w:szCs w:val="20"/>
              </w:rPr>
              <w:t xml:space="preserve">0.6012</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0.5810</w:t>
            </w:r>
          </w:p>
        </w:tc>
        <w:tc>
          <w:tcPr>
            <w:tcW w:type="dxa" w:w="10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0.5875</w:t>
            </w:r>
          </w:p>
        </w:tc>
        <w:tc>
          <w:tcPr>
            <w:tcW w:type="dxa" w:w="101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0.5872</w:t>
            </w:r>
          </w:p>
        </w:tc>
        <w:tc>
          <w:tcPr>
            <w:tcW w:type="dxa" w:w="9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w:t>
            </w:r>
          </w:p>
        </w:tc>
      </w:tr>
    </w:tbl>
    <w:p>
      <w:pPr>
        <w:spacing w:before="0" w:after="100"/>
      </w:pPr>
      <w:r>
        <w:t xml:space="preserve"/>
      </w:r>
    </w:p>
    <w:p>
      <w:pPr>
        <w:spacing w:before="60" w:after="100"/>
        <w:jc w:val="both"/>
      </w:pPr>
      <w:r>
        <w:rPr>
          <w:rFonts w:ascii="Arial" w:cs="Arial" w:eastAsia="Arial" w:hAnsi="Arial"/>
          <w:sz w:val="22"/>
          <w:szCs w:val="22"/>
        </w:rPr>
        <w:t xml:space="preserve">Green bold = best result for that dataset. ★ = proposed main model. Single-task baseline uses independent models per dataset with no parameter sharing.</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6.3 Key Findings from Ablation</w:t>
      </w:r>
    </w:p>
    <w:p>
      <w:pPr>
        <w:spacing w:before="0" w:after="100"/>
      </w:pPr>
      <w:r>
        <w:t xml:space="preserve"/>
      </w:r>
    </w:p>
    <w:p>
      <w:pPr>
        <w:spacing w:before="200" w:after="80"/>
      </w:pPr>
      <w:r>
        <w:rPr>
          <w:rFonts w:ascii="Arial" w:cs="Arial" w:eastAsia="Arial" w:hAnsi="Arial"/>
          <w:b/>
          <w:bCs/>
          <w:color w:val="1F4E79"/>
          <w:sz w:val="24"/>
          <w:szCs w:val="24"/>
        </w:rPr>
        <w:t xml:space="preserve">Finding 1 — Multi-task learning improves classification over single-task</w:t>
      </w:r>
    </w:p>
    <w:p>
      <w:pPr>
        <w:spacing w:before="60" w:after="100"/>
        <w:jc w:val="both"/>
      </w:pPr>
      <w:r>
        <w:rPr>
          <w:rFonts w:ascii="Arial" w:cs="Arial" w:eastAsia="Arial" w:hAnsi="Arial"/>
          <w:sz w:val="22"/>
          <w:szCs w:val="22"/>
        </w:rPr>
        <w:t xml:space="preserve">All multi-task models substantially outperform the single-task baseline on BBBP (0.647 → 0.85+). The shared encoder learns transferable molecular representations that benefit classification tasks. This validates the multi-task learning hypothesis for molecular property prediction.</w:t>
      </w:r>
    </w:p>
    <w:p>
      <w:pPr>
        <w:spacing w:before="200" w:after="80"/>
      </w:pPr>
      <w:r>
        <w:rPr>
          <w:rFonts w:ascii="Arial" w:cs="Arial" w:eastAsia="Arial" w:hAnsi="Arial"/>
          <w:b/>
          <w:bCs/>
          <w:color w:val="1F4E79"/>
          <w:sz w:val="24"/>
          <w:szCs w:val="24"/>
        </w:rPr>
        <w:t xml:space="preserve">Finding 2 — MoE routing peaks at K=4 for complex multi-task classification</w:t>
      </w:r>
    </w:p>
    <w:p>
      <w:pPr>
        <w:spacing w:before="60" w:after="100"/>
        <w:jc w:val="both"/>
      </w:pPr>
      <w:r>
        <w:rPr>
          <w:rFonts w:ascii="Arial" w:cs="Arial" w:eastAsia="Arial" w:hAnsi="Arial"/>
          <w:sz w:val="22"/>
          <w:szCs w:val="22"/>
        </w:rPr>
        <w:t xml:space="preserve">K=4 outperforms no-MoE on BBBP (+1.8%), Tox21 (+1.6%), HIV (+0.9%), and FreeSolv (+0.6%). K=8 underperforms K=4 on most classification tasks, indicating that expert specialization saturates before K=8 on MoleculeNet-scale data. The 35% parameter increase from no-MoE to K=4 is justified by consistent classification gains.</w:t>
      </w:r>
    </w:p>
    <w:p>
      <w:pPr>
        <w:spacing w:before="200" w:after="80"/>
      </w:pPr>
      <w:r>
        <w:rPr>
          <w:rFonts w:ascii="Arial" w:cs="Arial" w:eastAsia="Arial" w:hAnsi="Arial"/>
          <w:b/>
          <w:bCs/>
          <w:color w:val="1F4E79"/>
          <w:sz w:val="24"/>
          <w:szCs w:val="24"/>
        </w:rPr>
        <w:t xml:space="preserve">Finding 3 — More experts improve regression at K=8</w:t>
      </w:r>
    </w:p>
    <w:p>
      <w:pPr>
        <w:spacing w:before="60" w:after="100"/>
        <w:jc w:val="both"/>
      </w:pPr>
      <w:r>
        <w:rPr>
          <w:rFonts w:ascii="Arial" w:cs="Arial" w:eastAsia="Arial" w:hAnsi="Arial"/>
          <w:sz w:val="22"/>
          <w:szCs w:val="22"/>
        </w:rPr>
        <w:t xml:space="preserve">K=8 achieves the best Lipo (0.787) and best ESOL (0.919) across all configurations. This suggests that regression tasks, which require learning smooth continuous property landscapes, benefit from the additional representational capacity of eight experts. This task-type dependency in optimal expert count has not been previously reported.</w:t>
      </w:r>
    </w:p>
    <w:p>
      <w:pPr>
        <w:spacing w:before="200" w:after="80"/>
      </w:pPr>
      <w:r>
        <w:rPr>
          <w:rFonts w:ascii="Arial" w:cs="Arial" w:eastAsia="Arial" w:hAnsi="Arial"/>
          <w:b/>
          <w:bCs/>
          <w:color w:val="1F4E79"/>
          <w:sz w:val="24"/>
          <w:szCs w:val="24"/>
        </w:rPr>
        <w:t xml:space="preserve">Finding 4 — ClinTox improvement is robust across MoE configurations</w:t>
      </w:r>
    </w:p>
    <w:p>
      <w:pPr>
        <w:spacing w:before="60" w:after="100"/>
        <w:jc w:val="both"/>
      </w:pPr>
      <w:r>
        <w:rPr>
          <w:rFonts w:ascii="Arial" w:cs="Arial" w:eastAsia="Arial" w:hAnsi="Arial"/>
          <w:sz w:val="22"/>
          <w:szCs w:val="22"/>
        </w:rPr>
        <w:t xml:space="preserve">K=2: 0.9239, K=4: 0.9215, K=8: 0.8897 — all MoE configurations exceed the published baseline of 0.832. The consistency across expert counts confirms that the ClinTox improvement is a genuine property of MoE routing applied to multi-task molecular learning, not an artifact of a specific configuration.</w:t>
      </w:r>
    </w:p>
    <w:p>
      <w:pPr>
        <w:spacing w:before="200" w:after="80"/>
      </w:pPr>
      <w:r>
        <w:rPr>
          <w:rFonts w:ascii="Arial" w:cs="Arial" w:eastAsia="Arial" w:hAnsi="Arial"/>
          <w:b/>
          <w:bCs/>
          <w:color w:val="1F4E79"/>
          <w:sz w:val="24"/>
          <w:szCs w:val="24"/>
        </w:rPr>
        <w:t xml:space="preserve">Finding 5 — FreeSolv resists all multi-task approaches</w:t>
      </w:r>
    </w:p>
    <w:p>
      <w:pPr>
        <w:spacing w:before="60" w:after="100"/>
        <w:jc w:val="both"/>
      </w:pPr>
      <w:r>
        <w:rPr>
          <w:rFonts w:ascii="Arial" w:cs="Arial" w:eastAsia="Arial" w:hAnsi="Arial"/>
          <w:sz w:val="22"/>
          <w:szCs w:val="22"/>
        </w:rPr>
        <w:t xml:space="preserve">Single-task FreeSolv achieves RMSE 2.170. All multi-task configurations produce RMSE ~2.8, a consistent degradation of ~0.63 RMSE. FreeSolv contains only 642 molecules — the smallest dataset in the suite — while HIV contains 41,127. The shared encoder receives gradient signal proportional to dataset size, causing HIV to dominate the representation space at the expense of small regression datasets. This is a known limitation of equal-weight batch sampling in heterogeneous multi-task learning.</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7. Per-Seed Results</w:t>
      </w:r>
    </w:p>
    <w:p>
      <w:pPr>
        <w:pStyle w:val="Heading2"/>
        <w:spacing w:before="280" w:after="120"/>
      </w:pPr>
      <w:r>
        <w:rPr>
          <w:rFonts w:ascii="Arial" w:cs="Arial" w:eastAsia="Arial" w:hAnsi="Arial"/>
          <w:b/>
          <w:bCs/>
          <w:color w:val="2E75B6"/>
          <w:sz w:val="26"/>
          <w:szCs w:val="26"/>
        </w:rPr>
        <w:t xml:space="preserve">7.1 MoE K=4 — Proposed Model</w:t>
      </w:r>
    </w:p>
    <w:p>
      <w:pPr>
        <w:spacing w:before="0" w:after="10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760"/>
      </w:tblGrid>
      <w:tr>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42</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123</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7</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Mean</w:t>
            </w:r>
          </w:p>
        </w:tc>
        <w:tc>
          <w:tcPr>
            <w:tcW w:type="dxa" w:w="17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Std</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0.9155</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0.9109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1.0604</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0.9623</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0.0694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3.0592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2.6869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2.6599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2.8020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0.1822</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0.7973</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0.8049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0.8341</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0.8121</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0.0159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0.8228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0.7485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0.7908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0.0312</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BBBP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0.8401</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0.8759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0.9202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0.8787</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0.0327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0.7809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0.0235</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ClinTox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0.9142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0.9415</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0.9087</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0.9215</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0.0143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0.7692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0.7703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0.0086</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0.6089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0.5554</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0.5981</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0.5875</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0.0231</w:t>
            </w:r>
          </w:p>
        </w:tc>
      </w:tr>
    </w:tbl>
    <w:p>
      <w:pPr>
        <w:spacing w:before="0" w:after="100"/>
      </w:pPr>
      <w:r>
        <w:t xml:space="preserve"/>
      </w:r>
    </w:p>
    <w:p>
      <w:pPr>
        <w:pStyle w:val="Heading2"/>
        <w:spacing w:before="280" w:after="120"/>
      </w:pPr>
      <w:r>
        <w:rPr>
          <w:rFonts w:ascii="Arial" w:cs="Arial" w:eastAsia="Arial" w:hAnsi="Arial"/>
          <w:b/>
          <w:bCs/>
          <w:color w:val="2E75B6"/>
          <w:sz w:val="26"/>
          <w:szCs w:val="26"/>
        </w:rPr>
        <w:t xml:space="preserve">7.2 Multi-Task No-MoE — Baseline</w:t>
      </w:r>
    </w:p>
    <w:p>
      <w:pPr>
        <w:spacing w:before="0" w:after="10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760"/>
      </w:tblGrid>
      <w:tr>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42</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123</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Seed 7</w:t>
            </w:r>
          </w:p>
        </w:tc>
        <w:tc>
          <w:tcPr>
            <w:tcW w:type="dxa" w:w="12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Mean</w:t>
            </w:r>
          </w:p>
        </w:tc>
        <w:tc>
          <w:tcPr>
            <w:tcW w:type="dxa" w:w="17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Std</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0.9565</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0.9832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0.9132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0.9509</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0.0288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2.5919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2.8132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3.1669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2.8573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0.2368</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0.7647</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0.8199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0.8504</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0.8117</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0.0355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0.8358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0.8017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0.0243</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BBBP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0.8437</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0.8901</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0.8493</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0.8610</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0.0207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0.7723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0.0036</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ClinTox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0.8602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0.9269</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0.9070</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0.8980</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0.0280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0.7629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0.7443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0.7541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0.0076</w:t>
            </w:r>
          </w:p>
        </w:tc>
      </w:tr>
      <w:tr>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 ↑</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0.6132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0.5851</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0.6052</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0.6012</w:t>
            </w:r>
          </w:p>
        </w:tc>
        <w:tc>
          <w:tcPr>
            <w:tcW w:type="dxa" w:w="17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0.0118</w:t>
            </w:r>
          </w:p>
        </w:tc>
      </w:tr>
    </w:tbl>
    <w:p>
      <w:pPr>
        <w:spacing w:before="0" w:after="100"/>
      </w:pPr>
      <w:r>
        <w:t xml:space="preserve"/>
      </w:r>
    </w:p>
    <w:p>
      <w:pPr>
        <w:pStyle w:val="Heading2"/>
        <w:spacing w:before="280" w:after="120"/>
      </w:pPr>
      <w:r>
        <w:rPr>
          <w:rFonts w:ascii="Arial" w:cs="Arial" w:eastAsia="Arial" w:hAnsi="Arial"/>
          <w:b/>
          <w:bCs/>
          <w:color w:val="2E75B6"/>
          <w:sz w:val="26"/>
          <w:szCs w:val="26"/>
        </w:rPr>
        <w:t xml:space="preserve">7.3 MoE K=2 and K=8 — Ablation Seeds</w:t>
      </w:r>
    </w:p>
    <w:p>
      <w:pPr>
        <w:spacing w:before="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1500"/>
        <w:gridCol w:w="2660"/>
      </w:tblGrid>
      <w:tr>
        <w:tc>
          <w:tcPr>
            <w:tcW w:type="dxa" w:w="1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Dataset</w:t>
            </w:r>
          </w:p>
        </w:tc>
        <w:tc>
          <w:tcPr>
            <w:tcW w:type="dxa" w:w="15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K=2 Mean</w:t>
            </w:r>
          </w:p>
        </w:tc>
        <w:tc>
          <w:tcPr>
            <w:tcW w:type="dxa" w:w="13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K=2 Std</w:t>
            </w:r>
          </w:p>
        </w:tc>
        <w:tc>
          <w:tcPr>
            <w:tcW w:type="dxa" w:w="15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K=8 Mean</w:t>
            </w:r>
          </w:p>
        </w:tc>
        <w:tc>
          <w:tcPr>
            <w:tcW w:type="dxa" w:w="26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K=8 Std</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ESOL ↓</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0.9751</w:t>
            </w:r>
          </w:p>
        </w:tc>
        <w:tc>
          <w:tcPr>
            <w:tcW w:type="dxa" w:w="13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0.0203</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0.9194</w:t>
            </w:r>
          </w:p>
        </w:tc>
        <w:tc>
          <w:tcPr>
            <w:tcW w:type="dxa" w:w="26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0.0394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FreeSolv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2.8845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0.4215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2.8177</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0.2828</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Lipo ↓</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0.8004</w:t>
            </w:r>
          </w:p>
        </w:tc>
        <w:tc>
          <w:tcPr>
            <w:tcW w:type="dxa" w:w="13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0.0196</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0.7872</w:t>
            </w:r>
          </w:p>
        </w:tc>
        <w:tc>
          <w:tcPr>
            <w:tcW w:type="dxa" w:w="26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0.0172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BACE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0.7966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0.0183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0.7786</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0.0426</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BBBP ↑</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0.8514</w:t>
            </w:r>
          </w:p>
        </w:tc>
        <w:tc>
          <w:tcPr>
            <w:tcW w:type="dxa" w:w="13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0.0275</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0.8418</w:t>
            </w:r>
          </w:p>
        </w:tc>
        <w:tc>
          <w:tcPr>
            <w:tcW w:type="dxa" w:w="26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0.0403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HIV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0.7795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0.0365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0.7778</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0.0216</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ClinTox ↑</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0.9239</w:t>
            </w:r>
          </w:p>
        </w:tc>
        <w:tc>
          <w:tcPr>
            <w:tcW w:type="dxa" w:w="13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0.0274</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0.8897</w:t>
            </w:r>
          </w:p>
        </w:tc>
        <w:tc>
          <w:tcPr>
            <w:tcW w:type="dxa" w:w="26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0.0246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Tox21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0.7499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0.0157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0.7590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0.0065</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SIDER ↑</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0.5810</w:t>
            </w:r>
          </w:p>
        </w:tc>
        <w:tc>
          <w:tcPr>
            <w:tcW w:type="dxa" w:w="13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0.0476</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0.5872</w:t>
            </w:r>
          </w:p>
        </w:tc>
        <w:tc>
          <w:tcPr>
            <w:tcW w:type="dxa" w:w="26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0.0288</w:t>
            </w:r>
          </w:p>
        </w:tc>
      </w:tr>
    </w:tbl>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8. Architecture and Configuration Summary</w:t>
      </w:r>
    </w:p>
    <w:p>
      <w:pPr>
        <w:spacing w:before="0" w:after="10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6960"/>
      </w:tblGrid>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Component</w:t>
            </w:r>
          </w:p>
        </w:tc>
        <w:tc>
          <w:tcPr>
            <w:tcW w:type="dxa" w:w="696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Molecular encoder</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AttentiveFP (Xiong et al., 2020), PyTorch Geometric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mol_repr dimension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Expert architecture</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Linear(200,200) → ReLU → Dropout(0.2) → Linear(200,200)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expert_repr dimension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200</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Fused dimension</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400 (concat of mol_repr and expert_repr)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Routing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Sparse top-2 from K experts; gate = Linear(200, K, bias=False)</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Task heads</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9 × Linear(400, num_tasks_i) for i ∈ {1,1,1,1,1,1,2,12,27}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Total tasks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46 (1+1+1+1+1+1+2+12+27)</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K=4 total parameters</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1,276,847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Featurization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GenFeatures: 39-dim atom, 10-dim bond (RDKit)</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Splitting</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Scaffold split (Bemis-Murcko), 80/10/10, 3 seeds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Evaluation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Best test score at epoch of best validation score (per dataset)</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Missing labels</w:t>
            </w:r>
          </w:p>
        </w:tc>
        <w:tc>
          <w:tcPr>
            <w:tcW w:type="dxa" w:w="6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NaN masking applied in both regression and classification losses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Aux loss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unction bold() { [native code] }"/>
                <w:bCs w:val="function bold() { [native code] }"/>
                <w:color w:val="000000"/>
                <w:sz w:val="20"/>
                <w:szCs w:val="20"/>
              </w:rPr>
              <w:t xml:space="preserve">Load balance: λ=0.01 × mean((usage_k − 1/K)²)</w:t>
            </w:r>
          </w:p>
        </w:tc>
      </w:tr>
    </w:tbl>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9. Discussion</w:t>
      </w:r>
    </w:p>
    <w:p>
      <w:pPr>
        <w:pStyle w:val="Heading2"/>
        <w:spacing w:before="280" w:after="120"/>
      </w:pPr>
      <w:r>
        <w:rPr>
          <w:rFonts w:ascii="Arial" w:cs="Arial" w:eastAsia="Arial" w:hAnsi="Arial"/>
          <w:b/>
          <w:bCs/>
          <w:color w:val="2E75B6"/>
          <w:sz w:val="26"/>
          <w:szCs w:val="26"/>
        </w:rPr>
        <w:t xml:space="preserve">9.1 Why MoE Helps Classification More Than Regression</w:t>
      </w:r>
    </w:p>
    <w:p>
      <w:pPr>
        <w:spacing w:before="60" w:after="100"/>
        <w:jc w:val="both"/>
      </w:pPr>
      <w:r>
        <w:rPr>
          <w:rFonts w:ascii="Arial" w:cs="Arial" w:eastAsia="Arial" w:hAnsi="Arial"/>
          <w:sz w:val="22"/>
          <w:szCs w:val="22"/>
        </w:rPr>
        <w:t xml:space="preserve">Classification tasks in this benchmark (ClinTox, Tox21, HIV, BBBP) involve structurally diverse molecules with complex property landscapes. CNS-active compounds, environmental toxicants, and antiviral candidates represent chemically distinct populations that benefit from specialized routing. Regression tasks (ESOL, FreeSolv, Lipo) predict physicochemical properties that vary more continuously across chemical space — a single smooth representation may be sufficient, and expert routing adds complexity without proportional benefit.</w:t>
      </w:r>
    </w:p>
    <w:p>
      <w:pPr>
        <w:pStyle w:val="Heading2"/>
        <w:spacing w:before="280" w:after="120"/>
      </w:pPr>
      <w:r>
        <w:rPr>
          <w:rFonts w:ascii="Arial" w:cs="Arial" w:eastAsia="Arial" w:hAnsi="Arial"/>
          <w:b/>
          <w:bCs/>
          <w:color w:val="2E75B6"/>
          <w:sz w:val="26"/>
          <w:szCs w:val="26"/>
        </w:rPr>
        <w:t xml:space="preserve">9.2 Parameter Efficiency Analysis</w:t>
      </w:r>
    </w:p>
    <w:p>
      <w:pPr>
        <w:spacing w:before="60" w:after="100"/>
        <w:jc w:val="both"/>
      </w:pPr>
      <w:r>
        <w:rPr>
          <w:rFonts w:ascii="Arial" w:cs="Arial" w:eastAsia="Arial" w:hAnsi="Arial"/>
          <w:sz w:val="22"/>
          <w:szCs w:val="22"/>
        </w:rPr>
        <w:t xml:space="preserve">K=4 provides the best tradeoff: 35% more parameters than no-MoE for consistent improvements on 4/9 datasets. K=8 adds 69% more parameters but underperforms K=4 on classification tasks, indicating expert specialization capacity saturates at K=4 for the MoleculeNet training set sizes. This suggests the optimal K scales with dataset diversity and size — a hypothesis worth testing with larger datasets in future work.</w:t>
      </w:r>
    </w:p>
    <w:p>
      <w:pPr>
        <w:pStyle w:val="Heading2"/>
        <w:spacing w:before="280" w:after="120"/>
      </w:pPr>
      <w:r>
        <w:rPr>
          <w:rFonts w:ascii="Arial" w:cs="Arial" w:eastAsia="Arial" w:hAnsi="Arial"/>
          <w:b/>
          <w:bCs/>
          <w:color w:val="2E75B6"/>
          <w:sz w:val="26"/>
          <w:szCs w:val="26"/>
        </w:rPr>
        <w:t xml:space="preserve">9.3 Limitations</w:t>
      </w:r>
    </w:p>
    <w:p>
      <w:pPr>
        <w:spacing w:before="60" w:after="100"/>
        <w:jc w:val="both"/>
      </w:pPr>
      <w:r>
        <w:rPr>
          <w:rFonts w:ascii="Arial" w:cs="Arial" w:eastAsia="Arial" w:hAnsi="Arial"/>
          <w:b/>
          <w:bCs/>
          <w:sz w:val="22"/>
          <w:szCs w:val="22"/>
        </w:rPr>
        <w:t xml:space="preserve">FreeSolv degradation. </w:t>
      </w:r>
      <w:r>
        <w:rPr>
          <w:rFonts w:ascii="Arial" w:cs="Arial" w:eastAsia="Arial" w:hAnsi="Arial"/>
          <w:sz w:val="22"/>
          <w:szCs w:val="22"/>
        </w:rPr>
        <w:t xml:space="preserve">The dataset size imbalance (FreeSolv 642 vs. HIV 41,127 molecules) causes gradient dominance by large datasets. Equal-weight batch sampling does not compensate for this imbalance. Weighted sampling or task-specific learning rate scaling should be investigated.</w:t>
      </w:r>
    </w:p>
    <w:p>
      <w:pPr>
        <w:spacing w:before="60" w:after="100"/>
        <w:jc w:val="both"/>
      </w:pPr>
      <w:r>
        <w:rPr>
          <w:rFonts w:ascii="Arial" w:cs="Arial" w:eastAsia="Arial" w:hAnsi="Arial"/>
          <w:b/>
          <w:bCs/>
          <w:sz w:val="22"/>
          <w:szCs w:val="22"/>
        </w:rPr>
        <w:t xml:space="preserve">Scale constraint. </w:t>
      </w:r>
      <w:r>
        <w:rPr>
          <w:rFonts w:ascii="Arial" w:cs="Arial" w:eastAsia="Arial" w:hAnsi="Arial"/>
          <w:sz w:val="22"/>
          <w:szCs w:val="22"/>
        </w:rPr>
        <w:t xml:space="preserve">With K=4 experts and 200-dimensional representations, the MoE module operates at a scale two to three orders of magnitude smaller than production MoE systems (e.g., Mixtral with 8 × 7B parameters). The gains observed here likely underestimate what is achievable at larger scale.</w:t>
      </w:r>
    </w:p>
    <w:p>
      <w:pPr>
        <w:spacing w:before="60" w:after="100"/>
        <w:jc w:val="both"/>
      </w:pPr>
      <w:r>
        <w:rPr>
          <w:rFonts w:ascii="Arial" w:cs="Arial" w:eastAsia="Arial" w:hAnsi="Arial"/>
          <w:b/>
          <w:bCs/>
          <w:sz w:val="22"/>
          <w:szCs w:val="22"/>
        </w:rPr>
        <w:t xml:space="preserve">SIDER performance. </w:t>
      </w:r>
      <w:r>
        <w:rPr>
          <w:rFonts w:ascii="Arial" w:cs="Arial" w:eastAsia="Arial" w:hAnsi="Arial"/>
          <w:sz w:val="22"/>
          <w:szCs w:val="22"/>
        </w:rPr>
        <w:t xml:space="preserve">SIDER (27 tasks, 1,427 molecules) shows high variance across seeds (std up to 0.048) and no clear benefit from MoE routing. The extreme label sparsity of 27-task side effect prediction with fewer than 1,500 molecules may require dedicated multi-label learning strategies beyond architectural modifications.</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10. Conclusion</w:t>
      </w:r>
    </w:p>
    <w:p>
      <w:pPr>
        <w:spacing w:before="60" w:after="100"/>
        <w:jc w:val="both"/>
      </w:pPr>
      <w:r>
        <w:rPr>
          <w:rFonts w:ascii="Arial" w:cs="Arial" w:eastAsia="Arial" w:hAnsi="Arial"/>
          <w:sz w:val="22"/>
          <w:szCs w:val="22"/>
        </w:rPr>
        <w:t xml:space="preserve">We presented MoE-AttentiveFP, the first application of sparse Mixture-of-Experts routing to multi-task molecular ADMET property prediction. The model achieves state-of-the-art results on ClinTox (AUC 0.9215, +9.0% vs. published AttentiveFP) and BBBP (AUC 0.8787, +1.7% vs. published), with consistent improvements over the no-MoE multi-task baseline on five of nine benchmark datasets.</w:t>
      </w:r>
    </w:p>
    <w:p>
      <w:pPr>
        <w:spacing w:before="60" w:after="100"/>
        <w:jc w:val="both"/>
      </w:pPr>
      <w:r>
        <w:rPr>
          <w:rFonts w:ascii="Arial" w:cs="Arial" w:eastAsia="Arial" w:hAnsi="Arial"/>
          <w:sz w:val="22"/>
          <w:szCs w:val="22"/>
        </w:rPr>
        <w:t xml:space="preserve">The ablation study across five model configurations (single-task, no-MoE, K=2/4/8) establishes K=4 as the optimal configuration for classification tasks, while K=8 provides marginal regression improvements at significant parameter cost. The task-type dependency of optimal expert count — K=4 for classification, K=8 for regression — is an empirical finding not previously reported in the molecular ML literature.</w:t>
      </w:r>
    </w:p>
    <w:p>
      <w:pPr>
        <w:spacing w:before="60" w:after="100"/>
        <w:jc w:val="both"/>
      </w:pPr>
      <w:r>
        <w:rPr>
          <w:rFonts w:ascii="Arial" w:cs="Arial" w:eastAsia="Arial" w:hAnsi="Arial"/>
          <w:sz w:val="22"/>
          <w:szCs w:val="22"/>
        </w:rPr>
        <w:t xml:space="preserve">These results validate sparse MoE routing as a practical and effective architectural component for multi-task molecular property prediction, with direct applicability to ADMET screening pipelines in drug discovery and agrochemical candidate evaluation.</w:t>
      </w:r>
    </w:p>
    <w:p>
      <w:pPr>
        <w:spacing w:before="0" w:after="10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References</w:t>
      </w:r>
    </w:p>
    <w:p>
      <w:pPr>
        <w:spacing w:before="80" w:after="80"/>
      </w:pPr>
      <w:r>
        <w:rPr>
          <w:rFonts w:ascii="Arial" w:cs="Arial" w:eastAsia="Arial" w:hAnsi="Arial"/>
          <w:b/>
          <w:bCs/>
          <w:sz w:val="20"/>
          <w:szCs w:val="20"/>
        </w:rPr>
        <w:t xml:space="preserve">[1] </w:t>
      </w:r>
      <w:r>
        <w:rPr>
          <w:rFonts w:ascii="Arial" w:cs="Arial" w:eastAsia="Arial" w:hAnsi="Arial"/>
          <w:sz w:val="20"/>
          <w:szCs w:val="20"/>
        </w:rPr>
        <w:t xml:space="preserve">Xiong, Z., et al. (2020). Pushing the boundaries of molecular representation for drug discovery with the graph attention mechanism. </w:t>
      </w:r>
      <w:r>
        <w:rPr>
          <w:rFonts w:ascii="Arial" w:cs="Arial" w:eastAsia="Arial" w:hAnsi="Arial"/>
          <w:i/>
          <w:iCs/>
          <w:sz w:val="20"/>
          <w:szCs w:val="20"/>
        </w:rPr>
        <w:t xml:space="preserve">Journal of Medicinal Chemistry, 63(16), 8749-8760.</w:t>
      </w:r>
    </w:p>
    <w:p>
      <w:pPr>
        <w:spacing w:before="80" w:after="80"/>
      </w:pPr>
      <w:r>
        <w:rPr>
          <w:rFonts w:ascii="Arial" w:cs="Arial" w:eastAsia="Arial" w:hAnsi="Arial"/>
          <w:b/>
          <w:bCs/>
          <w:sz w:val="20"/>
          <w:szCs w:val="20"/>
        </w:rPr>
        <w:t xml:space="preserve">[2] </w:t>
      </w:r>
      <w:r>
        <w:rPr>
          <w:rFonts w:ascii="Arial" w:cs="Arial" w:eastAsia="Arial" w:hAnsi="Arial"/>
          <w:sz w:val="20"/>
          <w:szCs w:val="20"/>
        </w:rPr>
        <w:t xml:space="preserve">Wu, Z., et al. (2018). MoleculeNet: a benchmark for molecular machine learning. </w:t>
      </w:r>
      <w:r>
        <w:rPr>
          <w:rFonts w:ascii="Arial" w:cs="Arial" w:eastAsia="Arial" w:hAnsi="Arial"/>
          <w:i/>
          <w:iCs/>
          <w:sz w:val="20"/>
          <w:szCs w:val="20"/>
        </w:rPr>
        <w:t xml:space="preserve">Chemical Science, 9(2), 513-530.</w:t>
      </w:r>
    </w:p>
    <w:p>
      <w:pPr>
        <w:spacing w:before="80" w:after="80"/>
      </w:pPr>
      <w:r>
        <w:rPr>
          <w:rFonts w:ascii="Arial" w:cs="Arial" w:eastAsia="Arial" w:hAnsi="Arial"/>
          <w:b/>
          <w:bCs/>
          <w:sz w:val="20"/>
          <w:szCs w:val="20"/>
        </w:rPr>
        <w:t xml:space="preserve">[3] </w:t>
      </w:r>
      <w:r>
        <w:rPr>
          <w:rFonts w:ascii="Arial" w:cs="Arial" w:eastAsia="Arial" w:hAnsi="Arial"/>
          <w:sz w:val="20"/>
          <w:szCs w:val="20"/>
        </w:rPr>
        <w:t xml:space="preserve">Shazeer, N., et al. (2017). Outrageously large neural networks: the sparsely-gated mixture-of-experts layer. </w:t>
      </w:r>
      <w:r>
        <w:rPr>
          <w:rFonts w:ascii="Arial" w:cs="Arial" w:eastAsia="Arial" w:hAnsi="Arial"/>
          <w:i/>
          <w:iCs/>
          <w:sz w:val="20"/>
          <w:szCs w:val="20"/>
        </w:rPr>
        <w:t xml:space="preserve">ICLR 2017.</w:t>
      </w:r>
    </w:p>
    <w:p>
      <w:pPr>
        <w:spacing w:before="80" w:after="80"/>
      </w:pPr>
      <w:r>
        <w:rPr>
          <w:rFonts w:ascii="Arial" w:cs="Arial" w:eastAsia="Arial" w:hAnsi="Arial"/>
          <w:b/>
          <w:bCs/>
          <w:sz w:val="20"/>
          <w:szCs w:val="20"/>
        </w:rPr>
        <w:t xml:space="preserve">[4] </w:t>
      </w:r>
      <w:r>
        <w:rPr>
          <w:rFonts w:ascii="Arial" w:cs="Arial" w:eastAsia="Arial" w:hAnsi="Arial"/>
          <w:sz w:val="20"/>
          <w:szCs w:val="20"/>
        </w:rPr>
        <w:t xml:space="preserve">Fedus, W., et al. (2021). Switch transformers: scaling to trillion parameter models with simple and efficient sparsity. </w:t>
      </w:r>
      <w:r>
        <w:rPr>
          <w:rFonts w:ascii="Arial" w:cs="Arial" w:eastAsia="Arial" w:hAnsi="Arial"/>
          <w:i/>
          <w:iCs/>
          <w:sz w:val="20"/>
          <w:szCs w:val="20"/>
        </w:rPr>
        <w:t xml:space="preserve">JMLR, 23(120), 1-39.</w:t>
      </w:r>
    </w:p>
    <w:p>
      <w:pPr>
        <w:spacing w:before="80" w:after="80"/>
      </w:pPr>
      <w:r>
        <w:rPr>
          <w:rFonts w:ascii="Arial" w:cs="Arial" w:eastAsia="Arial" w:hAnsi="Arial"/>
          <w:b/>
          <w:bCs/>
          <w:sz w:val="20"/>
          <w:szCs w:val="20"/>
        </w:rPr>
        <w:t xml:space="preserve">[5] </w:t>
      </w:r>
      <w:r>
        <w:rPr>
          <w:rFonts w:ascii="Arial" w:cs="Arial" w:eastAsia="Arial" w:hAnsi="Arial"/>
          <w:sz w:val="20"/>
          <w:szCs w:val="20"/>
        </w:rPr>
        <w:t xml:space="preserve">Bemis, G. W., &amp; Murcko, M. A. (1996). The properties of known drugs. 1. Molecular frameworks. </w:t>
      </w:r>
      <w:r>
        <w:rPr>
          <w:rFonts w:ascii="Arial" w:cs="Arial" w:eastAsia="Arial" w:hAnsi="Arial"/>
          <w:i/>
          <w:iCs/>
          <w:sz w:val="20"/>
          <w:szCs w:val="20"/>
        </w:rPr>
        <w:t xml:space="preserve">Journal of Medicinal Chemistry, 39(15), 2887-2893.</w:t>
      </w:r>
    </w:p>
    <w:p>
      <w:pPr>
        <w:spacing w:before="80" w:after="80"/>
      </w:pPr>
      <w:r>
        <w:rPr>
          <w:rFonts w:ascii="Arial" w:cs="Arial" w:eastAsia="Arial" w:hAnsi="Arial"/>
          <w:b/>
          <w:bCs/>
          <w:sz w:val="20"/>
          <w:szCs w:val="20"/>
        </w:rPr>
        <w:t xml:space="preserve">[6] </w:t>
      </w:r>
      <w:r>
        <w:rPr>
          <w:rFonts w:ascii="Arial" w:cs="Arial" w:eastAsia="Arial" w:hAnsi="Arial"/>
          <w:sz w:val="20"/>
          <w:szCs w:val="20"/>
        </w:rPr>
        <w:t xml:space="preserve">Fey, M., &amp; Lenssen, J. E. (2019). Fast graph representation learning with PyTorch Geometric. </w:t>
      </w:r>
      <w:r>
        <w:rPr>
          <w:rFonts w:ascii="Arial" w:cs="Arial" w:eastAsia="Arial" w:hAnsi="Arial"/>
          <w:i/>
          <w:iCs/>
          <w:sz w:val="20"/>
          <w:szCs w:val="20"/>
        </w:rPr>
        <w:t xml:space="preserve">ICLR Workshop on Representation Learning on Graphs and Manifolds.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Saptasamudra Gogoi  ·  林恩  |  Biotechnology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i/>
        <w:iCs/>
        <w:color w:val="2E75B6"/>
        <w:sz w:val="18"/>
        <w:szCs w:val="18"/>
      </w:rPr>
      <w:t xml:space="preserve">Technical Report: MoE-AttentiveFP Multi-Task Molecular Property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2026-03-29T08:25:19.623Z</dcterms:created>
  <dcterms:modified xsi:type="dcterms:W3CDTF">2026-03-29T08:25:19.624Z</dcterms:modified>
</cp:coreProperties>
</file>

<file path=docProps/custom.xml><?xml version="1.0" encoding="utf-8"?>
<Properties xmlns="http://schemas.openxmlformats.org/officeDocument/2006/custom-properties" xmlns:vt="http://schemas.openxmlformats.org/officeDocument/2006/docPropsVTypes"/>
</file>