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바탕" w:cs="바탕" w:eastAsia="바탕" w:hAnsi="바탕"/>
          <w:lang w:val="en-US" w:eastAsia="ko-KR"/>
        </w:rPr>
        <w:t xml:space="preserve">석사학위논문 초고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인공지능융합학과 김승민 · 2026년 10월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제목(안): 사전학습 시계열 모델의 금융 수익률 예측구간: 오차의 출처와 재학습 없는 사후보정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한 줄 요약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사전학습 시계열 모델(TSFM)이 내는 주가 수익률 80% 예측구간이 틀어지는 정도는 금융 데이터의 특성보다 어떤 모델을 어떤 입력(과거 길이, 수익률·가격)으로 쓰느냐에 따라 정해지며, 이 오차는 모델을 재학습하지 않는 사후보정으로 바로잡힙니다.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1. 왜 이 연구인가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TSFM은 과거 가격이나 수익률만 넣으면 내일 값의 분포를 분위수 9개(10%~90%)로 냅니다. 그 양 끝을 이은 범위가 80% 예측구간입니다. 예를 들어 오늘 100원인 주식에 "내일 97.3~102.7원"이라는 구간을 냈다면, 이런 구간을 매일 낼 때 실제 다음 날 가격이 그 안에 들어오는 날이 80%여야 약속을 지킨 것입니다. 이 비율을 커버리지라고 합니다. 커버리지가 80%보다 낮으면 위험을 작게 본 것이고 높으면 크게 본 것이어서, 어느 쪽이든 이 구간으로 정하는 위험 한도(VaR)나 투자 비중을 틀리게 만듭니다. 그런데 금융 TSFM 연구는 점 예측 정확도만 비교했고, 이 구간이 실제로 80% 맞는지는 검증되지 않았습니다. 그래서 본 연구는 구간이 틀어지는 원인이 금융 데이터의 특성인지 모델과 입력 설정인지(RQ1 진단), 실제 주가에서 가장 단순한 기준(RW)보다 나은지(RQ2 실증), 모델을 재학습하지 않는 사후보정으로 80%로 되돌릴 수 있는지와 그 대가는 무엇인지(RQ3 처방)를 묻습니다.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2. 무엇을 알게 되었나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1. 구간이 틀어지는 정도는 금융 특성보다 모델과 입력 설정에 따라 정해집니다. 특성이 전혀 없는 데이터에서도 16개 모델·입력 조합의 커버리지가 75~88%로 달랐고, 특성을 실제 종목 중 가장 강한 수준까지 높여도 오르든 내리든 대부분 3%p 이내로만 변했습니다. 특성이 모두 섞인 실제 주가도 특성 없는 합성 데이터와 평균 1.1%p만 달랐습니다.</w:t>
      </w:r>
    </w:p>
    <w:p>
      <w:pPr>
        <w:keepNext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2. 이 오차는 재학습 없이 바로잡힙니다. 사후보정으로 모든 모델·입력 조합의 평균 커버리지가 80%로 돌아왔습니다. 대신 구간이 넓어져, 참 분포를 아는 경우의 가장 좁은 80% 구간보다 5~48% 넓습니다.</w:t>
      </w:r>
    </w:p>
    <w:p>
      <w:pPr>
        <w:keepNext w:val="false"/>
        <w:keepLines/>
        <w:widowControl/>
        <w:spacing w:after="60" w:line="384"/>
        <w:ind w:left="360" w:hanging="36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3. 분포 전체의 정확도는 가장 단순한 기준(RW) 수준이며 넘지 못했습니다. 따라서 TSFM 예측구간은 수익률 예측보다 점검과 보정을 거친 위험 측정에 쓰는 것이 맞습니다.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기여: 크게 어긋나는 모델과 설정을 실제 데이터에 쓰기 전에 가려내는 합성 데이터 점검 절차와, 그 오차를 재학습 없이 바로잡는 사후보정을 합성과 실제 양쪽에서 검증했습니다.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3. 어떻게 했나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데이터(RQ1): 평균 0, 하루 변동 약 2.1%로 추세 없이 오르내리는 일별 수익률입니다. 특성이 전혀 없는 기준 상태(L1)에, 실제 10종목에서 측정한 범위 안에서 군집(큰 변동이 몰려 옴), 꼬리(가끔 극단적인 날), 국면 전환의 빈도와 크기(평온기와 격변기가 번갈아 옴)를 하나씩 네 단계(L2~L5, L5가 가장 강한 종목 수준)로 넣어 17개 시나리오를 만들었습니다. 모든 시나리오가 같은 난수를 쓰므로, 커버리지가 달라지면 그 특성 때문입니다.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주가(RQ2): 미국 5종목, 한국 5종목의 2017~2026년 매 거래일(24,132건)입니다.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모델: TSFM 4종(Chronos-T5, Chronos-2, TimesFM-2.5, Moirai-2.0)에 과거 21일('한 달') 또는 252일('1년')의 수익률 또는 가격을 넣어 16개 조합을 평가했습니다. 비교 기준은 RW(과거 수익률의 평균과 표준편차로 그린 정규분포)와 GARCH-t(변동성 군집을 반영하는 계량 모형)입니다.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평가: 커버리지와 분위수 손실(분위수 9개 전체가 실제값에 얼마나 맞았는지, 곧 분포 정확도)을 봅니다. 80% 구간을 본 것은 네 모델이 공통으로 내는 분위수가 10%~90%이기 때문입니다.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판정: 가설과 기준은 실험 전에 정했습니다. 통계적으로 유의해도(Holm 보정 후 p &lt; 0.05) 실질 기준(커버리지 2%p, 손실 2%)보다 작으면 '작은 차이'로 구분했고, 커버리지 78~82%를 목표에 맞는 범위로 봅니다. 2%p는 표본 오차(약 ±1%p)보다 확실히 큰 차이입니다.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4. RQ1 진단: 오차는 어디서 오는가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군집(H1), 꼬리(H2), 국면 전환의 빈도(H3a)와 크기(H3b)가 강할수록 구간이 좁아져 커버리지가 떨어지고, 그 정도는 특성마다 다를 것이다(H4).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특성이 없는 데이터(그림 맨 윗줄)에서도 16개 조합의 커버리지가 낮게는 75%(Chronos-T5 한 달·가격), 높게는 88%(TimesFM-2.5 1년·가격)로 달랐고, 절반은 78~82% 밖이었습니다. 같은 TimesFM-2.5도 1년 과거를 가격으로 넣으면 88%, 수익률로 넣으면 79%였습니다.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특성을 L5까지 높여도 커버리지는 대부분 3%p 이내로만 변했습니다. 그림의 색은 세로(모델·입력)로 바뀌고 가로(특성)로는 거의 바뀌지 않습니다.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커버리지를 낮춘 특성은 군집뿐이었고, 2%p 이상 낮아진 것은 2개 조합(−2.0, −2.5%p)이었습니다. 꼬리와 잦은 국면 전환은 오히려 커버리지를 높였습니다. 구간이 상대적으로 넓어졌다는 뜻이지 예측이 좋아졌다는 뜻은 아닙니다.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꼬리가 두꺼운 분포는 분산이 같으면 중심부에 더 몰리므로 80% 구간에는 더 많이 들어옵니다. 반대로 98% 같은 극단 구간에서는 커버리지가 떨어지며, 극단 분위수를 내는 Chronos-2로 이를 확인했습니다(본문 표 4-3, 4-4).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조합마다 왜 다른지는 일부만 밝혔습니다. 실험 중 Chronos-T5의 라이브러리 기본 샘플링 설정이 수익률 구간을 14%로 무너뜨리는 것을 발견해 바로잡았고(부록 A.3), TimesFM-2.5 1년·가격의 과대는 출력 방식이 일부 원인이었으나 나머지는 분리하지 못했습니다.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오차의 대부분은 금융 특성보다 모델과 입력 설정에서 옵니다. 특성 중에서는 군집만 불리했고, 그 효과도 2%p 안팎입니다.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5. RQ2 실증: 실제 주가에서도 그런가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TSFM이 RW보다 분포 정확도가 좋을 것이다(H5).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10종목의 커버리지는 76~88%였고, 같은 모델·입력 조합끼리 보면 특성 없는 합성 데이터(L1)의 커버리지와 평균 1.1%p(최대 3.6%p) 차이였습니다(그림의 점이 대각선 근처에 모임).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분위수 손실은 16개 조합 중 12개에서 RW보다 컸고, 가장 나은 조합(네 모델의 1년·수익률)에서 RW와 같은 수준이었습니다. GARCH-t보다는 1년 조합 모두 손실이 컸습니다.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주가에는 특성이 모두 섞여 있는데도 특성 없는 데이터와 비슷한 커버리지가 나왔으므로, 특성의 영향이 작다는 RQ1의 결론이 실제에서도 성립합니다. 다만 합성이 "모두 80%"라는 짐작보다 실제에 더 가깝다는 점은 통계적으로 확실하지 않고(p = 0.07), 분명한 것은 크게 어긋나는 조합(TimesFM-2.5 1년·가격 88%, 기본 설정 Chronos-T5 14%)이 합성에서 이미 드러났다는 점입니다.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일별 수익률은 방향을 거의 예측할 수 없어, 최근 변동 크기만 반영한 RW가 이미 정답에 가깝습니다.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실제 주가에서도 오차는 모델과 입력 설정에서 오고, 분포 정확도는 RW 수준입니다(H5 미지지).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6. RQ3 처방: 재학습 없이 바로잡을 수 있는가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예상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모델은 그대로 두고 출력 구간만 매일 조정하는 사후보정(ACI-CQR)으로 커버리지가 80%로 돌아올 것이다(H6).</w:t>
      </w:r>
    </w:p>
    <w:p>
      <w:pPr>
        <w:keepNext w:val="false"/>
        <w:spacing w:after="60" w:before="120"/>
        <w:jc w:val="center"/>
      </w:pPr>
      <w:r>
        <w:drawing>
          <wp:inline distT="0" distB="0" distL="0" distR="0">
            <wp:extent cx="4143375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결과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합성 340개, 실제 19개 모델·입력 조합 모두 평균 커버리지가 80%로 돌아왔습니다(보정 후 79.8~80.7%). 좁은 구간은 넓히고 넓은 구간은 좁혔습니다.</w:t>
      </w:r>
    </w:p>
    <w:p>
      <w:pPr>
        <w:pStyle w:val="ListParagraph"/>
        <w:keepNext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대가는 폭입니다. 보정된 구간은 참 분포를 아는 경우의 가장 좁은 80% 구간보다 5~48% 넓었습니다(합성 데이터).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탐색 분석에서 구간 하단을 위험 한도(VaR 10%)로 쓰면, 한도를 넘는 날의 비율이 보정 전 5.5~11.9%에서 보정 후 8.6~10.8%로 목표 10% 근처에 모였습니다.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해석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보정은 매일 실제 가격이 구간 밖으로 나갔는지를 보고 다음 날 구간을 넓히거나 좁히므로, 오차의 방향과 상관없이 작동합니다. 다만 맞추는 것은 평균 커버리지이며, 한도를 넘는 날이 특정 시기에 몰리는 문제는 일부 조합(한 달·가격)에 남았습니다.</w:t>
      </w:r>
    </w:p>
    <w:p>
      <w:pPr>
        <w:keepNext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답</w:t>
      </w:r>
    </w:p>
    <w:p>
      <w:pPr>
        <w:pStyle w:val="ListParagraph"/>
        <w:keepNext w:val="false"/>
        <w:keepLines/>
        <w:widowControl/>
        <w:numPr>
          <w:ilvl w:val="0"/>
          <w:numId w:val="2"/>
        </w:numPr>
        <w:spacing w:after="60" w:line="384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재학습 없는 사후보정으로 모든 경우 평균 커버리지가 80%로 복원되고(H6 지지), 대가는 5~48% 넓은 구간입니다.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7. 한계</w:t>
      </w: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주분석은 80% 구간이며 98% 구간은 Chronos-2 한 모델로만 확인했습니다. 다음 날 예측과 미국·한국 대형주 10종목에 한정되고, 입력은 종가에서 얻은 단변량 계열입니다(거래량 등 외부 변수는 쓰지 않았으나, 커버리지 오차는 거래량이 없는 합성 데이터에서도 같게 나타남). Chronos-T5는 계산 시간 문제로 base 크기를 사용했습니다.</w:t>
      </w:r>
    </w:p>
    <w:p>
      <w:pPr>
        <w:pStyle w:val="Heading2"/>
        <w:keepNext/>
      </w:pPr>
      <w:r>
        <w:rPr>
          <w:rFonts w:ascii="바탕" w:cs="바탕" w:eastAsia="바탕" w:hAnsi="바탕"/>
          <w:lang w:val="en-US" w:eastAsia="ko-KR"/>
        </w:rPr>
        <w:t xml:space="preserve">참고. 가설별 판정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50"/>
        <w:gridCol w:w="2434"/>
        <w:gridCol w:w="1571"/>
        <w:gridCol w:w="4015"/>
      </w:tblGrid>
      <w:tr>
        <w:trPr>
          <w:cantSplit/>
          <w:tblHeader/>
        </w:trPr>
        <w:tc>
          <w:tcPr>
            <w:tcW w:type="dxa" w:w="1050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연구 질문</w:t>
            </w:r>
          </w:p>
        </w:tc>
        <w:tc>
          <w:tcPr>
            <w:tcW w:type="dxa" w:w="2434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가설</w:t>
            </w:r>
          </w:p>
        </w:tc>
        <w:tc>
          <w:tcPr>
            <w:tcW w:type="dxa" w:w="1571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판정</w:t>
            </w:r>
          </w:p>
        </w:tc>
        <w:tc>
          <w:tcPr>
            <w:tcW w:type="dxa" w:w="4015"/>
            <w:tcBorders>
              <w:top w:val="single" w:color="000000" w:sz="12"/>
              <w:left w:val="none" w:color="FFFFFF" w:sz="0"/>
              <w:bottom w:val="single" w:color="808080" w:sz="4"/>
              <w:right w:val="none" w:color="FFFFFF" w:sz="0"/>
            </w:tcBorders>
            <w:shd w:fill="F2F2F2" w:color="auto" w:val="clear"/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center"/>
            </w:pPr>
            <w:r>
              <w:rPr>
                <w:rFonts w:ascii="굴림" w:cs="굴림" w:eastAsia="굴림" w:hAnsi="굴림"/>
                <w:b/>
                <w:bCs/>
                <w:sz w:val="18"/>
                <w:szCs w:val="18"/>
                <w:lang w:val="en-US" w:eastAsia="ko-KR"/>
              </w:rPr>
              <w:t xml:space="preserve">핵심 근거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RQ1 진단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H1 군집이 강할수록 커버리지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일부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2%p 이상 하락 2개 조합(−2.0, −2.5%p)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H2 꼬리가 두꺼울수록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11개 조합 상승. 80% 구간의 성질, 98%에서는 하락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H3a 전환이 잦을수록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미지지(반대 방향)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7개 조합 작은 상승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H3b 전환이 클수록 하락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유의한 변화 없음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H4 특성마다 하락 정도가 다름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16개 중 10개 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10개 모두 군집이 가장 불리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RQ2 실증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H5 TSFM이 RW보다 정확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미지지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12개 조합 RW보다 손실 큼, 3개 차이 없음, 1개 작은 우위</w:t>
            </w:r>
          </w:p>
        </w:tc>
      </w:tr>
      <w:tr>
        <w:trPr>
          <w:cantSplit/>
          <w:trHeight w:val="512" w:hRule="atLeast"/>
        </w:trPr>
        <w:tc>
          <w:tcPr>
            <w:tcW w:type="dxa" w:w="1050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RQ3 처방</w:t>
            </w:r>
          </w:p>
        </w:tc>
        <w:tc>
          <w:tcPr>
            <w:tcW w:type="dxa" w:w="2434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H6 보정 후 80% 복원</w:t>
            </w:r>
          </w:p>
        </w:tc>
        <w:tc>
          <w:tcPr>
            <w:tcW w:type="dxa" w:w="1571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전면 지지</w:t>
            </w:r>
          </w:p>
        </w:tc>
        <w:tc>
          <w:tcPr>
            <w:tcW w:type="dxa" w:w="4015"/>
            <w:tcBorders>
              <w:top w:val="single" w:color="808080" w:sz="4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40"/>
              <w:left w:type="dxa" w:w="50"/>
              <w:bottom w:type="dxa" w:w="40"/>
              <w:right w:type="dxa" w:w="50"/>
            </w:tcMar>
            <w:vAlign w:val="center"/>
          </w:tcPr>
          <w:p>
            <w:pPr>
              <w:keepNext w:val="false"/>
              <w:keepLines/>
              <w:wordWrap w:val="1"/>
              <w:spacing w:after="0" w:before="0" w:line="240"/>
              <w:jc w:val="left"/>
            </w:pPr>
            <w:r>
              <w:rPr>
                <w:rFonts w:ascii="굴림" w:cs="굴림" w:eastAsia="굴림" w:hAnsi="굴림"/>
                <w:sz w:val="18"/>
                <w:szCs w:val="18"/>
                <w:lang w:val="en-US" w:eastAsia="ko-KR"/>
              </w:rPr>
              <w:t xml:space="preserve">합성 340개, 실제 19개 모두 복원</w:t>
            </w:r>
          </w:p>
        </w:tc>
      </w:tr>
    </w:tbl>
    <w:p>
      <w:pPr>
        <w:spacing w:after="60"/>
      </w:pPr>
    </w:p>
    <w:p>
      <w:pPr>
        <w:keepNext w:val="false"/>
        <w:widowControl/>
        <w:spacing w:after="120" w:before="0" w:line="384"/>
        <w:ind w:firstLine="210"/>
        <w:jc w:val="both"/>
      </w:pPr>
      <w:r>
        <w:rPr>
          <w:rFonts w:ascii="바탕" w:cs="바탕" w:eastAsia="바탕" w:hAnsi="바탕"/>
          <w:sz w:val="21"/>
          <w:szCs w:val="21"/>
          <w:lang w:val="en-US" w:eastAsia="ko-KR"/>
        </w:rPr>
        <w:t xml:space="preserve">판정 기준: H1~H5는 Holm 보정 후 p &lt; 0.05이면서 실질 기준(커버리지 2%p, 손실 2%) 이상, H6은 보정 후 커버리지의 90% 신뢰구간이 [77%, 83%] 안. 본문 표 7-1과 같습니다.</w:t>
      </w:r>
    </w:p>
    <w:sectPr>
      <w:footerReference w:type="default" r:id="rId7"/>
      <w:pgSz w:w="11906" w:h="16838" w:orient="portrait"/>
      <w:pgMar w:top="1418" w:right="1418" w:bottom="1418" w:left="1418" w:header="680" w:footer="680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바탕" w:cs="바탕" w:eastAsia="바탕" w:hAnsi="바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바탕" w:cs="바탕" w:eastAsia="바탕" w:hAnsi="바탕"/>
        <w:sz w:val="21"/>
        <w:szCs w:val="21"/>
        <w:lang w:val="en-US" w:eastAsia="ko-KR"/>
      </w:rPr>
    </w:rPrDefault>
    <w:pPrDefault>
      <w:pPr>
        <w:widowControl/>
        <w:wordWrap w:val="1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ableCaption">
    <w:name w:val="Tabl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FigureCaption">
    <w:name w:val="FigureCaption"/>
    <w:basedOn w:val="Normal"/>
    <w:next w:val="Normal"/>
    <w:rPr>
      <w:rFonts w:ascii="바탕" w:cs="바탕" w:eastAsia="바탕" w:hAnsi="바탕"/>
      <w:b/>
      <w:bCs/>
      <w:sz w:val="19"/>
      <w:szCs w:val="19"/>
    </w:rPr>
  </w:style>
  <w:style w:type="paragraph" w:styleId="TOC1">
    <w:name w:val="toc 1"/>
    <w:basedOn w:val="Normal"/>
    <w:next w:val="Normal"/>
    <w:pPr>
      <w:spacing w:after="40" w:before="160"/>
    </w:pPr>
    <w:rPr>
      <w:sz w:val="21"/>
      <w:szCs w:val="21"/>
    </w:rPr>
  </w:style>
  <w:style w:type="paragraph" w:styleId="TOC2">
    <w:name w:val="toc 2"/>
    <w:basedOn w:val="Normal"/>
    <w:next w:val="Normal"/>
    <w:pPr>
      <w:spacing w:after="40" w:before="0"/>
      <w:ind w:left="300"/>
    </w:pPr>
    <w:rPr>
      <w:sz w:val="21"/>
      <w:szCs w:val="21"/>
    </w:rPr>
  </w:style>
  <w:style w:type="paragraph" w:styleId="TOC3">
    <w:name w:val="toc 3"/>
    <w:basedOn w:val="Normal"/>
    <w:next w:val="Normal"/>
    <w:pPr>
      <w:spacing w:after="40" w:before="0"/>
      <w:ind w:left="600"/>
    </w:pPr>
    <w:rPr>
      <w:sz w:val="21"/>
      <w:szCs w:val="21"/>
    </w:rPr>
  </w:style>
  <w:style w:type="paragraph" w:styleId="Heading1">
    <w:name w:val="Heading 1"/>
    <w:basedOn w:val="Normal"/>
    <w:next w:val="Normal"/>
    <w:qFormat/>
    <w:pPr>
      <w:spacing w:after="480" w:before="0"/>
      <w:jc w:val="center"/>
      <w:outlineLvl w:val="0"/>
    </w:pPr>
    <w:rPr>
      <w:rFonts w:ascii="바탕" w:cs="바탕" w:eastAsia="바탕" w:hAnsi="바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바탕" w:cs="바탕" w:eastAsia="바탕" w:hAnsi="바탕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바탕" w:cs="바탕" w:eastAsia="바탕" w:hAnsi="바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db29d9c2f8af4aa9b2e62890964dd06a9296104.png"/><Relationship Id="rId9" Type="http://schemas.openxmlformats.org/officeDocument/2006/relationships/image" Target="media/f3666422cbc02dc855fed673b29fe41d55b6cd1c.png"/><Relationship Id="rId10" Type="http://schemas.openxmlformats.org/officeDocument/2006/relationships/image" Target="media/50fce3821f4f050e8c32911508e82f621e34034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석사학위논문 초고 요약</dc:title>
  <dc:creator>김승민</dc:creator>
  <cp:lastModifiedBy>김승민</cp:lastModifiedBy>
  <cp:revision>1</cp:revision>
  <dcterms:created xsi:type="dcterms:W3CDTF">2026-10-22T07:09:46.854Z</dcterms:created>
  <dcterms:modified xsi:type="dcterms:W3CDTF">2026-10-22T07:09:46.854Z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